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hợp đồng chuyển nhượng quyền sở hữu công nghiệp 1</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cá nhân nộp 01 bộ hồ sơ đăng ký hợp đồng chuyển nhượng quyền sở hữu công nghiệp đến Cục Sở hữu trí tuệ.
- Bước 2: Xử lý hồ sơ
Trường hợp hồ sơ đăng ký không có thiếu sót:
+ Cục Sở hữu trí tuệ ra quyết định ghi nhận chuyển nhượng quyền sở hữu công nghiệp;
+ Ghi nhận vào Văn bằng bảo hộ chủ sở hữu mới; trong trường  hợp chuyển nhượng một phần danh mục hàng hóa, dịch vụ mang nhãn hiệu được bảo hộ thì cấp Giấy chứng nhận đăng ký nhãn hiệu mới cho bên nhận và xác định giới hạn danh mục hàng hóa/dịch vụ trong Văn bằng bảo hộ gốc đối với phần chuyển nhượng đó;
+ Ghi nhận vào Sổ đăng ký quốc gia về chuyển giao quyền sở hữu công nghiệp;
+ Công bố quyết định ghi nhận chuyển nhượng quyền sở hữu công nghiệp trên Công báo sở hữu công nghiệp trong thời hạn 02 tháng kể từ ngày ra quyết định.
Trường hợp hồ sơ đăng ký có thiếu sót:
+ Cục Sở hữu trí tuệ ra thông báo dự định từ chối đăng ký hợp đồng, nêu rõ các thiếu sót của hồ sơ, ấn định thời hạn 02 tháng kể từ ngày ký thông báo để người nộp hồ sơ sửa chữa các thiếu sót hoặc có ý kiến phản hồi về dự định từ chối đăng ký hợp đồng;
+ Ra quyết định từ chối ghi nhận chuyển nhượng nếu người nộp hồ sơ không sửa chữa hoặc sửa chữa thiếu sót không đạt yêu cầu, không có ý kiến phản đối hoặc ý kiến phản đối không xác đáng về dự định từ chối đăng ký hợp đồng trong thời hạn đã được ấn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chuyển nhượng quyền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chuyển nhượng quyền sở hữu công nghiệp)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nhượng quyền sở hữu công nghiệp (mỗi đối tượng))</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(mỗi đối tượng) (trường hợp chuyển nhượng nhãn hiệu tập thể, nhãn hiệu chứng nhận))</w:t>
            </w:r>
          </w:p>
          <w:p>
            <w:pPr>
              <w:spacing w:after="0" w:before="0" w:lineRule="auto" w:line="276"/>
              <w:jc w:val="left"/>
            </w:pPr>
            <w:r>
              <w:rPr>
                <w:rFonts w:ascii="Times New Roman" w:hAnsi="Times New Roman" w:cs="Times New Roman" w:eastAsia="Times New Roman"/>
                <w:b w:val="false"/>
                <w:sz w:val="26"/>
              </w:rPr>
              <w:t>Phí : 600.000 Đồng</w:t>
              <w:t xml:space="preserve"> (Phí tra cứu nhãn hiệu liên kết (mỗi đối tượng):)</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hợp đồng chuyển nhượng quyền sở hữu công nghiệp theo Mẫu số 01 tại Phụ lục IV Nghị định số 65/2023/NĐ-CP</w:t>
            </w:r>
          </w:p>
        </w:tc>
        <w:tc>
          <w:p/>
          <w:p>
            <w:pPr>
              <w:spacing w:after="0" w:before="0" w:lineRule="auto" w:line="276"/>
              <w:jc w:val="left"/>
            </w:pPr>
            <w:r>
              <w:rPr>
                <w:rFonts w:ascii="Times New Roman" w:hAnsi="Times New Roman" w:cs="Times New Roman" w:eastAsia="Times New Roman"/>
                <w:b w:val="false"/>
                <w:sz w:val="26"/>
              </w:rPr>
              <w:t>PL4.1 TKDK Hop dong CHUYEN NHUONG quyen SHCN.docx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(bản gốc hoặc bản sao được chứng thực theo quy định); nếu hợp đồng làm bằng ngôn ngữ khác tiếng Việt thì phải kèm theo bản dịch hợp đồng ra tiếng Việt; hợp đồng có nhiều trang thì từng trang phải có chữ ký xác nhận của các bên hoặc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văn bằng bảo hộ trong trường hợp văn bằng bảo hộ được cấp dưới dạng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các đồng chủ sở hữu về việc chuyển nhượng quyền sở hữu công nghiệp, nếu quyền sở hữu công nghiệp tương ứng  thuộc sở hữu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hồ sơ đăng ký hợp đồng chuyển nhượng nhãn hiệu tập thể, nhãn hiệu chứng nhận, cần có thêm các giấy tờ: Quy chế sử dụng nhãn hiệu tập thể, quy chế sử dụng nhãn hiệu chứng nhận và tài liệu chứng minh quyền nộp đơn của Bên nhận chuyển nhượng (trong trường hợp này Cục Sở hữu trí tuệ sẽ thẩm định lại về quyền nộp đơn và quy chế sử dụng nhãn hiệu, người nộp đơn phải nộp phí thẩm định đơn ngoài các khoản phí, lệ phí đối với hồ sơ đăng ký hợp đồng chuyển nhượng quyền sở hữu công nghiệp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chuyển nhượng quyền sở hữu công nghiệp - 65/2023/NĐ-CP, Quyết định từ chối ghi nhận chuyển nhượng quyền sở hữu công nghiệp - 65/2023/NĐ-CP, Kết quả ghi nhận vào văn bằng bảo hộ chủ sở hữu mới và xác định giới hạn danh mục hàng hóa/dịch vụ trong văn bằng bảo hộ gốc đối với phần chuyển nhượng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sở hữu quyền sở hữu công nghiệp chỉ được chuyển nhượng quyền của mình trong phạm vi được bảo hộ.
- Quyền đối với chỉ dẫn địa lý không được chuyển nhượng.
- Quyền đối với tên thương mại chỉ được chuyển nhượng cùng với việc chuyển nhượng toàn bộ cơ sở kinh doanh và hoạt động kinh doanh dưới tên thương mại đó.
- Việc chuyển nhượng quyền đối với nhãn hiệu không được gây ra sự nhầm lẫn về đặc tính, nguồn gốc của hàng hóa, dịch vụ mang nhãn hiệu, cụ thể là trong các trường hợp sau:
+ Nhãn hiệu được chuyển nhượng trùng hoặc tương tự đến mức gây nhầm lẫn với nhãn hiệu khác đang được bảo hộ theo Giấy chứng nhận đăng ký nhãn hiệu hoặc đăng ký quốc tế nhãn hiệu thuộc quyền sở hữu của bên chuyển nhượng;
+ Một phần hàng hóa, dịch vụ mang nhãn hiệu được chuyển nhượng tương tự với phần hàng hóa, dịch vụ còn lại thuộc Danh mục hàng hóa, dịch vụ thuộc quyền sở hữu của bên chuyển nhượng và việc sử dụng nhãn hiệu cùng với phần hàng hóa, dịch vụ đó của bên nhận chuyển nhượng có khả năng gây nhầm lẫn về nguồn gốc thương mại của hàng hóa, dịch vụ (đối với trường hợp phạm vi chuyển nhượng là một phần danh mục hàng hóa, dịch vụ);
+ Nhãn hiệu được chuyển nhượng có chứa yếu tố là dấu hiệu làm cho người tiêu dùng nhầm lẫn hoặc hiểu sai lệch xuất xứ, chất lượng, giá trị v.v… của hàng hóa, dịch vụ thuộc phạm vi chuyển nhượng.
- Quyền đối với nhãn hiệu tập thể, nhãn hiệu chứng nhận chỉ được chuyển nhượng cho tổ chức có quyền đăng ký nhãn hiệu tập thể, nhãn hiệu chứng nhận đó.
- Quyền đối với sáng chế, kiểu dáng công nghiệp, thiết kế bố trí là kết quả của nhiệm vụ khoa học và công nghệ sử dụng ngân sách nhà nước chỉ được chuyển nhượng cho tổ chức được thành lập theo pháp luật Việt Nam, cá nhân là công dân Việt Nam và thường trú tại Việt Nam. Tổ chức, cá nhân nhận chuyển nhượng quyền sở hữu phải thực hiện các nghĩa vụ tương ứng của tổ chức chủ trì theo quy định của Luật Sở hữu trí tuệ.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2026-05-22T17:50:04Z</dcterms:created>
  <dc:creator>Apache POI</dc:creator>
</cp:coreProperties>
</file>