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Tổ chức, cá nhân nộp 01 bộ hồ sơ đăng ký hợp đồng chuyển quyền sử dụng đối tượng sở hữu công nghiệp đến Cục Sở hữu trí tuệ.
- Bước 2: Xử lý hồ sơ
Trường hợp hồ sơ đăng ký không có thiếu sót:
+ Cục Sở hữu trí tuệ ra quyết định cấp Giấy chứng nhận đăng ký hợp đồng chuyển quyền sử dụng đối tượng sở hữu công nghiệp;
+Cấp Giấy chứng nhận đăng ký hợp đồng chuyển quyền sử dụng đối tượng sở hữu công nghiệp, đóng dấu đăng ký vào 02 bản hợp đồng và trao người nộp hồ sơ 01 bản, lưu 01 bản;
+ Ghi nhận vào Sổ đăng ký quốc gia về chuyển giao quyền sở hữu công nghiệp;
+ Công bố quyết định cấp Giấy chứng nhận đăng ký hợp đồng chuyển quyền sử dụng đối tượng sở hữu công nghiệp trên Công báo sở hữu công nghiệp trong thời hạn 02 tháng kể từ ngày ra quyết định.
Trường hợp hồ sơ đăng ký có thiếu sót:
+ Cục Sở hữu trí tuệ ra thông báo dự định từ chối đăng ký hợp đồng, nêu rõ các thiếu sót của hồ sơ, ấn định thời hạn 02 tháng kể từ ngày ký thông báo để người nộp hồ sơ sửa chữa các thiếu sót hoặc có ý kiến phản đối về dự định từ chối đăng ký hợp đồng;
+ Ra quyết định từ chối đăng ký hợp đồng nếu người nộp hồ sơ không sửa chữa hoặc sửa chữa thiếu sót không đạt yêu cầu, không có ý kiến phản đối hoặc ý kiến phản đối không xác đáng về dự định từ chối đăng ký hợp đồng trong thời hạn đã được ấn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cấp Giấy chứng nhận đăng ký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cấp Giấy chứng nhận đăng ký hợp đồng chuyển quyền sử dụng đối tượng công nghiệp)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quyền sử dụng đối tượng sở hữu công nghiệp (mỗi đối tượng))</w:t>
            </w:r>
          </w:p>
          <w:p>
            <w:pPr>
              <w:spacing w:after="0" w:before="0" w:lineRule="auto" w:line="276"/>
              <w:jc w:val="left"/>
            </w:pPr>
            <w:r>
              <w:rPr>
                <w:rFonts w:ascii="Times New Roman" w:hAnsi="Times New Roman" w:cs="Times New Roman" w:eastAsia="Times New Roman"/>
                <w:b w:val="false"/>
                <w:sz w:val="26"/>
              </w:rPr>
              <w:t>Lệ phí : 120.000 Đồng</w:t>
              <w:t xml:space="preserve"> (Lệ phí cấp Giấy chứng nhận đăng ký hợp đồng chuyển quyền sử dụng đối tượng sở hữu công nghiệp)</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cấp Giấy chứng nhận đăng ký hợp đồng chuyển quyền sử dụng đối tượng công nghiệp)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quyền sử dụng đối tượng sở hữu công nghiệp (mỗi đối tượng))</w:t>
            </w:r>
          </w:p>
          <w:p>
            <w:pPr>
              <w:spacing w:after="0" w:before="0" w:lineRule="auto" w:line="276"/>
              <w:jc w:val="left"/>
            </w:pPr>
            <w:r>
              <w:rPr>
                <w:rFonts w:ascii="Times New Roman" w:hAnsi="Times New Roman" w:cs="Times New Roman" w:eastAsia="Times New Roman"/>
                <w:b w:val="false"/>
                <w:sz w:val="26"/>
              </w:rPr>
              <w:t>Lệ phí : 120.000 Đồng</w:t>
              <w:t xml:space="preserve"> (Lệ phí cấp Giấy chứng nhận đăng ký hợp đồng chuyển quyền sử dụng đối tượng sở hữu công nghiệp)</w:t>
            </w:r>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cấp Giấy chứng nhận đăng ký hợp đồng chuyển quyền sử dụng đối tượng sở hữu công nghiệp)</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cấp Giấy chứng nhận đăng ký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cấp Giấy chứng nhận đăng ký hợp đồng chuyển quyền sử dụng đối tượng công nghiệp)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quyền sử dụng đối tượng sở hữu công nghiệp (mỗi đối tượng))</w:t>
            </w:r>
          </w:p>
          <w:p>
            <w:pPr>
              <w:spacing w:after="0" w:before="0" w:lineRule="auto" w:line="276"/>
              <w:jc w:val="left"/>
            </w:pPr>
            <w:r>
              <w:rPr>
                <w:rFonts w:ascii="Times New Roman" w:hAnsi="Times New Roman" w:cs="Times New Roman" w:eastAsia="Times New Roman"/>
                <w:b w:val="false"/>
                <w:sz w:val="26"/>
              </w:rPr>
              <w:t>Lệ phí : 120.000 Đồng</w:t>
              <w:t xml:space="preserve"> (Lệ phí cấp Giấy chứng nhận đăng ký hợp đồng chuyển quyền sử dụng đối tượng sở hữu công nghiệp)</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hợp đồng chuyển quyền sử dụng đối tượng sở hữu công nghiệp theo Mẫu số 02 tại Phụ lục IV Nghị định số 65/2023/NĐ-CP</w:t>
            </w:r>
          </w:p>
        </w:tc>
        <w:tc>
          <w:p/>
          <w:p>
            <w:pPr>
              <w:spacing w:after="0" w:before="0" w:lineRule="auto" w:line="276"/>
              <w:jc w:val="left"/>
            </w:pPr>
            <w:r>
              <w:rPr>
                <w:rFonts w:ascii="Times New Roman" w:hAnsi="Times New Roman" w:cs="Times New Roman" w:eastAsia="Times New Roman"/>
                <w:b w:val="false"/>
                <w:sz w:val="26"/>
              </w:rPr>
              <w:t>PL4.2 TKDK Hop dong chuyen quyen su dung doi tuong SHCN.docx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(bản gốc hoặc bản sao kèm theo bản gốc để đối chiếu, trừ trường hợp bản sao đã được chứng thực theo quy định); nếu hợp đồng làm bằng ngôn ngữ khác tiếng Việt thì phải kèm theo bản dịch hợp đồng ra tiếng Việt; nếu hợp đồng có nhiều trang thì từng trang phải có chữ ký xác nhận của các bên hoặc đóng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của các đồng chủ sở hữu về việc chuyển quyền sử dụng đối tượng sở hữu công nghiệp, nếu quyền sở hữu công nghiệp tương ứng  thuộc sở hữu chung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(trường hợp yêu cầu được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đăng ký hợp đồng chuyển quyền sử dụng đối tượng sở hữu công nghiệp - 65/2023/NĐ-CP, Quyết định từ chối cấp Giấy chứng nhận đăng ký hợp đồng chuyển quyền sử dụng đối tượng sở hữu công nghiệp - 65/2023/NDD-CP, Giấy chứng nhận đăng ký hợp đồng chuyển quyền sử dụng đối tượng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2026-05-01T12:38:35Z</dcterms:created>
  <dc:creator>Apache POI</dc:creator>
</cp:coreProperties>
</file>