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dự kiểm tra nghiệp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Cá nhân nộp 01 bộ hồ sơ đăng ký dự kiểm tra nghiệp vụ đại diện sở hữu công nghiệp đến Cục Sở hữu trí tuệ.
- Bước 2: Xử lý hồ sơ 
Trong thời hạn 20 ngày kể từ ngày nhận hồ sơ, Cục Sở hữu trí tuệ xem xét hồ sơ theo quy định sau đây:
- Trường hợp hồ sơ hợp lệ, Cục Sở hữu trí tuệ thông báo cho người nộp hồ sơ về việc đủ điều kiện tham dự kỳ kiểm tra, đồng thời thông báo về dự kiến thời gian, địa điểm, lịch kiểm tra;
- Trường hợp hồ sơ không hợp lệ, Cục Sở hữu trí tuệ thông báo các thiếu sót của hồ sơ và ấn định thời hạn 01 tháng kể từ ngày ra thông báo để người nộp hồ sơ sửa chữa thiếu sót; 
- Trường hợp người nộp hồ sơ không sửa chữa thiếu sót hoặc sửa chữa thiếu sót không đạt yêu cầu, Cục Sở hữu trí tuệ ra quyết định từ chối chấp nhận đơn đăng ký dự kiểm tra,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(Phí thẩm định hồ sơ kiểm tra nghiệp vụ đại diện sở hữu công nghiệp (mỗi môn))</w:t>
            </w:r>
          </w:p>
          <w:p>
            <w:pPr>
              <w:spacing w:after="0" w:before="0" w:lineRule="auto" w:line="276"/>
              <w:jc w:val="left"/>
            </w:pPr>
            <w:r>
              <w:rPr>
                <w:rFonts w:ascii="Times New Roman" w:hAnsi="Times New Roman" w:cs="Times New Roman" w:eastAsia="Times New Roman"/>
                <w:b w:val="false"/>
                <w:sz w:val="26"/>
              </w:rPr>
              <w:t>Phí : 150.000 Đồng</w:t>
              <w:t xml:space="preserve"> (Phí phúc tra kiểm tra kết quả nghiệp vụ đại diện sở hữu công nghiệp (mỗi môn))</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(Phí phúc tra kiểm tra kết quả nghiệp vụ đại diện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thẩm định hồ sơ kiểm tra nghiệp vụ đại diện sở hữu công nghiệp (mỗi môn))</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(Phí phúc tra kiểm tra kết quả nghiệp vụ đại diện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thẩm định hồ sơ kiểm tra nghiệp vụ đại diện sở hữu công nghiệp (mỗi môn))</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dự kiểm tra nghiệp vụ đại diện sở hữu công nghiệp theo Mẫu số 01 tại Phụ lục V Nghị định số 65/2023/NĐ-CP</w:t>
            </w:r>
          </w:p>
        </w:tc>
        <w:tc>
          <w:p/>
          <w:p>
            <w:pPr>
              <w:spacing w:after="0" w:before="0" w:lineRule="auto" w:line="276"/>
              <w:jc w:val="left"/>
            </w:pPr>
            <w:r>
              <w:rPr>
                <w:rFonts w:ascii="Times New Roman" w:hAnsi="Times New Roman" w:cs="Times New Roman" w:eastAsia="Times New Roman"/>
                <w:b w:val="false"/>
                <w:sz w:val="26"/>
              </w:rPr>
              <w:t>PL5.1 - Tờ khai đăng ký dự kiểm tra nghiệp vụ đại diện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cử nhân hoặc văn bằng trình độ tương đương quy định tại điểm c khoản 2 Điều 155 của Luật Sở hữu trí tuệ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tốt nghiệp khóa đào tạo pháp luật về sở hữu công nghiệp được Bộ Khoa học và Công nghệ công nhận nhận quy định tại Điều 62 của Nghị định số 65/2023/NĐ-CP (xuất trình bản chính để đối chiếu, trừ trường hợp bản sao đã được chứng thực);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tuyển dụng hoặc hợp đồng lao động và tài liệu khác (có xác nhận của cơ quan, tổ chức nơi công tác) chứng minh thời gian ít nhất 05 năm trực tiếp làm công tác thẩm định đơn đăng ký sở hữu công nghiệp tại cơ quan quốc gia hoặc quốc tế về sở hữu công nghiệp hoặc công tác pháp luật về sở hữu công nghiệp quy định tại điểm d khoản 2 Điều 155 của Luật Sở hữu trí tuệ, bao gồm công tác thanh tra, kiểm tra, kiểm sát, xét xử, pháp chế, tư vấn pháp luật, quản lý nhà nước về sở hữu công nghiệp; nghiên cứu khoa học (có chức danh nghiên cứu viên) và giảng dạy về sở hữu công nghiệp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3x4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đủ điều kiện tham dự kỳ kiểm tra nghiệp vụ đại diện sở hữu công nghiệp - 65/2023/NĐ-CP, Quyết định từ chối chấp nhận đơn đăng ký dự kiểm tra nghiệp vụ đại diện sở hữu công nghiệp - 65/2023/NĐ-CP, Thông báo kết quả kiểm tra nghiệp vụ đại diện sở hữu công nghiệp - 65/2023/NĐ-CP, Thông báo kết quả phúc tra nghiệp vụ đại diện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2026-05-01T12:34:03Z</dcterms:created>
  <dc:creator>Apache POI</dc:creator>
</cp:coreProperties>
</file>