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dự kiểm tra nghiệp vụ giám định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đăng ký dự kiểm tra nghiệp vụ giám định sở hữu công nghiệp đến Cục Sở hữu trí tuệ .
- Bước 2: Xử lý hồ sơ 
Trong thời hạn 20 ngày kể từ ngày nhận hồ sơ, Cục Sở hữu trí tuệ có trách nhiệm xử lý hồ sơ theo quy định sau đây:
+ Trường hợp hồ sơ có đủ các tài liệu theo quy định và người đăng ký đáp ứng đủ điều kiện tham dự kiểm tra, Cục Sở hữu trí tuệ ra thông báo chấp nhận hồ sơ, trong đó nêu rõ kế hoạch kiểm tra;
+ Trường hợp hồ sơ có thiếu sót hoặc người đăng ký không đáp ứng đủ điều kiện tham dự kiểm tra, Cục sở hữu trí tuệ ra thông báo dự định từ chối chấp nhận hồ sơ trong đó nêu rõ lý do và ấn định thời hạn 01 tháng để người đăng ký sửa chữa hoặc có ý kiến phản đối. Nếu người đăng ký không sửa chữa thiếu sót hoặc sửa chữa thiếu sót không đạt yêu cầu, không có ý kiến phản đối hoặc ý kiến phản đối không xác đáng thì Cục sở hữu trí tuệ ra quyết định từ chối chấp nhận hồ sơ (có nêu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phúc tra kết quả kiểm tra nghiệp vụ giám định sở hữu công nghiệp (mỗi môn))</w:t>
            </w:r>
          </w:p>
        </w:tc>
        <w:tc>
          <w:p/>
          <w:p>
            <w:pPr>
              <w:spacing w:after="0" w:before="0" w:lineRule="auto" w:line="276"/>
              <w:jc w:val="left"/>
            </w:pPr>
            <w:r>
              <w:rPr>
                <w:rFonts w:ascii="Times New Roman" w:hAnsi="Times New Roman" w:cs="Times New Roman" w:eastAsia="Times New Roman"/>
                <w:b w:val="false"/>
                <w:sz w:val="26"/>
              </w:rPr>
              <w:t>20 ngày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phúc tra kết quả kiểm tra nghiệp vụ giám định sở hữu công nghiệp (mỗi môn))</w:t>
            </w:r>
          </w:p>
        </w:tc>
        <w:tc>
          <w:p/>
          <w:p>
            <w:pPr>
              <w:spacing w:after="0" w:before="0" w:lineRule="auto" w:line="276"/>
              <w:jc w:val="left"/>
            </w:pPr>
            <w:r>
              <w:rPr>
                <w:rFonts w:ascii="Times New Roman" w:hAnsi="Times New Roman" w:cs="Times New Roman" w:eastAsia="Times New Roman"/>
                <w:b w:val="false"/>
                <w:sz w:val="26"/>
              </w:rPr>
              <w:t>20 ngày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nghiệp vụ giám định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phúc tra kết quả kiểm tra nghiệp vụ giám định sở hữu công nghiệp (mỗi môn))</w:t>
            </w:r>
          </w:p>
        </w:tc>
        <w:tc>
          <w:p/>
          <w:p>
            <w:pPr>
              <w:spacing w:after="0" w:before="0" w:lineRule="auto" w:line="276"/>
              <w:jc w:val="left"/>
            </w:pPr>
            <w:r>
              <w:rPr>
                <w:rFonts w:ascii="Times New Roman" w:hAnsi="Times New Roman" w:cs="Times New Roman" w:eastAsia="Times New Roman"/>
                <w:b w:val="false"/>
                <w:sz w:val="26"/>
              </w:rPr>
              <w:t>20 ngày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dự kiểm tra nghiệp vụ giám định sở hữu công nghiệp theo Mẫu số 01 tại Phụ lục VI Nghị định số 65/2023/NĐ-CP</w:t>
            </w:r>
          </w:p>
        </w:tc>
        <w:tc>
          <w:p/>
          <w:p>
            <w:pPr>
              <w:spacing w:after="0" w:before="0" w:lineRule="auto" w:line="276"/>
              <w:jc w:val="left"/>
            </w:pPr>
            <w:r>
              <w:rPr>
                <w:rFonts w:ascii="Times New Roman" w:hAnsi="Times New Roman" w:cs="Times New Roman" w:eastAsia="Times New Roman"/>
                <w:b w:val="false"/>
                <w:sz w:val="26"/>
              </w:rPr>
              <w:t>PL6.1. Tờ khai đăng ký dự kiểm tra nghiệp vụ giám định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Bằng tốt nghiệp trình độ đại học hoặc sau đại học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tuyển dụng hoặc hợp đồng lao động và tài liệu khác chứng minh thực tế hoạt động chuyên môn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phúc tra nghiệp vụ giám định sở hữu công nghiệp  - 65/2023/NĐ-CP, Thông báo chấp nhận hồ sơ đăng ký dự kiểm tra nghiệp vụ giám định sở hữu công nghiệp - 65/2023/NĐ-CP, Thông báo kết quả kiểm tra nghiệp vụ giám định sở hữu công nghiệp - 65/2023/NĐ-CP, Quyết định từ chối chấp nhận đơn đơn đăng ký dự kiểm tra nghiệp vụ giám định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2026-05-01T12:36:18Z</dcterms:created>
  <dc:creator>Apache POI</dc:creator>
</cp:coreProperties>
</file>