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Thẻ giám định viên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hồ sơ 
Cá nhân nộp 01 bộ hồ sơ yêu cầu cấp lại Thẻ giám định viên sở hữu công nghiệp đến Cục Sở hữu trí tuệ.
- Bước 2: Thẩm định hồ sơ
Trong thời hạn 20 ngày kể từ ngày nhận hồ sơ, Cục Sở hữu trí tuệ xem xét hồ sơ theo quy định sau đây:
+ Trường hợp hồ sơ hợp lệ, Cục Sở hữu trí tuệ sẽ ra quyết định cấp lại Thẻ giám định viên; ghi nhận việc cấp Thẻ vào Sổ đăng ký quốc gia về giám định sở hữu công nghiệp và công bố trên Công báo sở hữu công nghiệp, cổng thông tin điện tử của Cục Sở hữu trí tuệ trong thời hạn 02 tháng kể từ ngày ra quyết định.
+ Trường hợp hồ sơ không hợp lệ, Cục Sở hữu trí tuệ sẽ ra thông báo dự định từ chối chấp nhận hồ sơ, nêu rõ lý do và ấn định thời hạn 01 tháng để người yêu cầu sửa chữa thiếu sót hoặc có ý kiến phản đối. Nếu người yêu cầu không sửa chữa thiếu sót hoặc sửa chữa không đạt yêu cầu, không có ý kiến phản đối hoặc có ý kiến phản đối nhưng không xác đáng, Cục Sở hữu trí tuệ sẽ ra quyết định từ chối cấp lại Thẻ giám định viên.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Thẻ giám định viên sở hữu công nghiệp)</w:t>
            </w:r>
          </w:p>
        </w:tc>
        <w:tc>
          <w:p/>
          <w:p>
            <w:pPr>
              <w:spacing w:after="0" w:before="0" w:lineRule="auto" w:line="276"/>
              <w:jc w:val="left"/>
            </w:pPr>
            <w:r>
              <w:rPr>
                <w:rFonts w:ascii="Times New Roman" w:hAnsi="Times New Roman" w:cs="Times New Roman" w:eastAsia="Times New Roman"/>
                <w:b w:val="false"/>
                <w:sz w:val="26"/>
              </w:rPr>
              <w:t>20 ngày kể từ ngày tiếp nhận hồ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Thẻ giám định viên sở hữu công nghiệp)</w:t>
            </w:r>
          </w:p>
        </w:tc>
        <w:tc>
          <w:p/>
          <w:p>
            <w:pPr>
              <w:spacing w:after="0" w:before="0" w:lineRule="auto" w:line="276"/>
              <w:jc w:val="left"/>
            </w:pPr>
            <w:r>
              <w:rPr>
                <w:rFonts w:ascii="Times New Roman" w:hAnsi="Times New Roman" w:cs="Times New Roman" w:eastAsia="Times New Roman"/>
                <w:b w:val="false"/>
                <w:sz w:val="26"/>
              </w:rPr>
              <w:t>20 ngày kể từ ngày tiếp nhận hồ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Thẻ giám định viên sở hữu công nghiệp)</w:t>
            </w:r>
          </w:p>
        </w:tc>
        <w:tc>
          <w:p/>
          <w:p>
            <w:pPr>
              <w:spacing w:after="0" w:before="0" w:lineRule="auto" w:line="276"/>
              <w:jc w:val="left"/>
            </w:pPr>
            <w:r>
              <w:rPr>
                <w:rFonts w:ascii="Times New Roman" w:hAnsi="Times New Roman" w:cs="Times New Roman" w:eastAsia="Times New Roman"/>
                <w:b w:val="false"/>
                <w:sz w:val="26"/>
              </w:rPr>
              <w:t>20 ngày kể từ ngày tiếp nhận hồ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cấp lại Thẻ giám định viên sở hữu công nghiệp theo Mẫu số 03 Phụ lục VI  Nghị định số 65/2023/NĐ-CP</w:t>
            </w:r>
          </w:p>
        </w:tc>
        <w:tc>
          <w:p/>
          <w:p>
            <w:pPr>
              <w:spacing w:after="0" w:before="0" w:lineRule="auto" w:line="276"/>
              <w:jc w:val="left"/>
            </w:pPr>
            <w:r>
              <w:rPr>
                <w:rFonts w:ascii="Times New Roman" w:hAnsi="Times New Roman" w:cs="Times New Roman" w:eastAsia="Times New Roman"/>
                <w:b w:val="false"/>
                <w:sz w:val="26"/>
              </w:rPr>
              <w:t>PL6.3 - Tờ khai yêu cầu cấp lại Thẻ giám định viên sở hữu công nghiệp.docx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minh nhân dân (xuất trình bản chính để đối chiếu, trừ trường hợp bản sao đã được chứng thực), trừ trường hợp Tờ khai yêu cầu cấp lại Thẻ giám định viên sở hữu công nghiệp đã có thông tin về số Căn cước công dân đối với trường hợp cấp lại do thông tin trong Thẻ giám định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Ảnh 3x4</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giám định viên sở hữu công nghiệp - 65/2023/NĐ-CP, Quyết định cấp lại Thẻ giám định viên sở hữu công nghiệp - 65/2023/NĐ-CP, Quyết định từ chối cấp lại Thẻ giám định viên sở hữu công nghiệp - 65/2023/NĐ-CP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31/2020/TT-BTC</w:t>
            </w:r>
          </w:p>
        </w:tc>
        <w:tc>
          <w:p/>
          <w:p>
            <w:pPr>
              <w:spacing w:after="0" w:before="0" w:lineRule="auto" w:line="276"/>
              <w:jc w:val="left"/>
            </w:pPr>
            <w:r>
              <w:rPr>
                <w:rFonts w:ascii="Times New Roman" w:hAnsi="Times New Roman" w:cs="Times New Roman" w:eastAsia="Times New Roman"/>
                <w:b w:val="false"/>
                <w:sz w:val="26"/>
              </w:rPr>
              <w:t>31/2020/TT-BTC - Thông tư sửa đổi, bổ sung một số điều của Thông tư số 263/2016/TT-BTC ngày 14 tháng 11 năm 2016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04-05-2020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2026-05-22T18:51:44Z</dcterms:created>
  <dc:creator>Apache POI</dc:creator>
</cp:coreProperties>
</file>