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1.011926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1442/QĐ-BKHCN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ghi nhận tổ chức đủ điều kiện kinh doanh dịch vụ đại diện sở hữu công nghiệp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Sở hữu trí tuệ</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Trình tự thực hiện:
- Bước 1: Tiếp nhận hồ sơ 
Tổ chức nộp 01 bộ hồ sơ yêu cầu ghi nhận tổ chức đủ điều kiện kinh doanh dịch vụ đại diện sở hữu công nghiệp đến Cục Sở hữu trí tuệ.
- Bước 2: Xử lý hồ sơ 
Trong thời hạn 20 ngày kể từ ngày nhận hồ sơ, Cục Sở hữu trí tuệ xem xét hồ sơ theo quy định sau đây:
- Trường hợp hồ sơ hợp lệ, Cục Sở hữu trí tuệ ra quyết định ghi nhận tổ chức đủ điều kiện kinh doanh dịch vụ đại diện sở hữu công nghiệp; ghi nhận trong Sổ đăng ký quốc gia về đại diện sở hữu công nghiệp và công bố trên Công báo Sở hữu công nghiệp, Cổng thông tin điện tử của Cục Sở hữu trí tuệ trong thời hạn 02 tháng kể từ ngày ra quyết định; 
- Trường hợp hồ sơ không hợp lệ, Cục Sở hữu trí tuệ thông báo các thiếu sót của hồ sơ và ấn định thời hạn 01 tháng kể từ ngày ra thông báo để người nộp hồ sơ sửa chữa thiếu sót;
- Trường hợp người nộp hồ sơ không sửa chữa thiếu sót hoặc sửa chữa thiếu sót không đạt yêu cầu, Cục Sở hữu trí tuệ ra quyết định từ chối ghi nhận tổ chức đủ điều kiện kinh doanh dịch vụ đại diện sở hữu công nghiệp, trong đó nêu rõ lý do từ chối.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Phí : 250.000 Đồng</w:t>
              <w:t xml:space="preserve"> (Phí thẩm định hồ sơ yêu cầu ghi nhận tổ chức dịch vụ đại diện sở hữu công nghiệp)</w:t>
            </w:r>
          </w:p>
          <w:p>
            <w:pPr>
              <w:spacing w:after="0" w:before="0" w:lineRule="auto" w:line="276"/>
              <w:jc w:val="left"/>
            </w:pPr>
            <w:r>
              <w:rPr>
                <w:rFonts w:ascii="Times New Roman" w:hAnsi="Times New Roman" w:cs="Times New Roman" w:eastAsia="Times New Roman"/>
                <w:b w:val="false"/>
                <w:sz w:val="26"/>
              </w:rPr>
              <w:t>Lệ phí : 150.000 Đồng</w:t>
              <w:t xml:space="preserve"> (Lệ phí công bố Quyết định ghi nhận Tổ chức dịch vụ đại diện sở hữu công nghiệp)</w:t>
            </w:r>
          </w:p>
          <w:p>
            <w:pPr>
              <w:spacing w:after="0" w:before="0" w:lineRule="auto" w:line="276"/>
              <w:jc w:val="left"/>
            </w:pPr>
            <w:r>
              <w:rPr>
                <w:rFonts w:ascii="Times New Roman" w:hAnsi="Times New Roman" w:cs="Times New Roman" w:eastAsia="Times New Roman"/>
                <w:b w:val="false"/>
                <w:sz w:val="26"/>
              </w:rPr>
              <w:t>Lệ phí : 150.000 Đồng</w:t>
              <w:t xml:space="preserve"> (Lệ phí đăng bạ Quyết định ghi nhận Tổ chức dịch vụ đại diện sở hữu công nghiệp)</w:t>
            </w:r>
          </w:p>
        </w:tc>
        <w:tc>
          <w:p/>
          <w:p>
            <w:pPr>
              <w:spacing w:after="0" w:before="0" w:lineRule="auto" w:line="276"/>
              <w:jc w:val="left"/>
            </w:pPr>
            <w:r>
              <w:rPr>
                <w:rFonts w:ascii="Times New Roman" w:hAnsi="Times New Roman" w:cs="Times New Roman" w:eastAsia="Times New Roman"/>
                <w:b w:val="false"/>
                <w:sz w:val="26"/>
              </w:rPr>
              <w:t>20 ngày kể từ ngày nhận hồ sơ</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Phí : 250.000 Đồng</w:t>
              <w:t xml:space="preserve"> (Phí thẩm định hồ sơ yêu cầu ghi nhận tổ chức dịch vụ đại diện sở hữu công nghiệp)</w:t>
            </w:r>
          </w:p>
          <w:p>
            <w:pPr>
              <w:spacing w:after="0" w:before="0" w:lineRule="auto" w:line="276"/>
              <w:jc w:val="left"/>
            </w:pPr>
            <w:r>
              <w:rPr>
                <w:rFonts w:ascii="Times New Roman" w:hAnsi="Times New Roman" w:cs="Times New Roman" w:eastAsia="Times New Roman"/>
                <w:b w:val="false"/>
                <w:sz w:val="26"/>
              </w:rPr>
              <w:t>Lệ phí : 150.000 Đồng</w:t>
              <w:t xml:space="preserve"> (Lệ phí công bố Quyết định ghi nhận Tổ chức dịch vụ đại diện sở hữu công nghiệp)</w:t>
            </w:r>
          </w:p>
          <w:p>
            <w:pPr>
              <w:spacing w:after="0" w:before="0" w:lineRule="auto" w:line="276"/>
              <w:jc w:val="left"/>
            </w:pPr>
            <w:r>
              <w:rPr>
                <w:rFonts w:ascii="Times New Roman" w:hAnsi="Times New Roman" w:cs="Times New Roman" w:eastAsia="Times New Roman"/>
                <w:b w:val="false"/>
                <w:sz w:val="26"/>
              </w:rPr>
              <w:t>Lệ phí : 150.000 Đồng</w:t>
              <w:t xml:space="preserve"> (Lệ phí đăng bạ Quyết định ghi nhận Tổ chức dịch vụ đại diện sở hữu công nghiệp)</w:t>
            </w:r>
          </w:p>
        </w:tc>
        <w:tc>
          <w:p/>
          <w:p>
            <w:pPr>
              <w:spacing w:after="0" w:before="0" w:lineRule="auto" w:line="276"/>
              <w:jc w:val="left"/>
            </w:pPr>
            <w:r>
              <w:rPr>
                <w:rFonts w:ascii="Times New Roman" w:hAnsi="Times New Roman" w:cs="Times New Roman" w:eastAsia="Times New Roman"/>
                <w:b w:val="false"/>
                <w:sz w:val="26"/>
              </w:rPr>
              <w:t>20 ngày kể từ ngày nhận hồ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Phí : 250.000 Đồng</w:t>
              <w:t xml:space="preserve"> (Phí thẩm định hồ sơ yêu cầu ghi nhận tổ chức dịch vụ đại diện sở hữu công nghiệp)</w:t>
            </w:r>
          </w:p>
          <w:p>
            <w:pPr>
              <w:spacing w:after="0" w:before="0" w:lineRule="auto" w:line="276"/>
              <w:jc w:val="left"/>
            </w:pPr>
            <w:r>
              <w:rPr>
                <w:rFonts w:ascii="Times New Roman" w:hAnsi="Times New Roman" w:cs="Times New Roman" w:eastAsia="Times New Roman"/>
                <w:b w:val="false"/>
                <w:sz w:val="26"/>
              </w:rPr>
              <w:t>Lệ phí : 150.000 Đồng</w:t>
              <w:t xml:space="preserve"> (Lệ phí công bố Quyết định ghi nhận Tổ chức dịch vụ đại diện sở hữu công nghiệp)</w:t>
            </w:r>
          </w:p>
          <w:p>
            <w:pPr>
              <w:spacing w:after="0" w:before="0" w:lineRule="auto" w:line="276"/>
              <w:jc w:val="left"/>
            </w:pPr>
            <w:r>
              <w:rPr>
                <w:rFonts w:ascii="Times New Roman" w:hAnsi="Times New Roman" w:cs="Times New Roman" w:eastAsia="Times New Roman"/>
                <w:b w:val="false"/>
                <w:sz w:val="26"/>
              </w:rPr>
              <w:t>Lệ phí : 150.000 Đồng</w:t>
              <w:t xml:space="preserve"> (Lệ phí đăng bạ Quyết định ghi nhận Tổ chức dịch vụ đại diện sở hữu công nghiệp)</w:t>
            </w:r>
          </w:p>
        </w:tc>
        <w:tc>
          <w:p/>
          <w:p>
            <w:pPr>
              <w:spacing w:after="0" w:before="0" w:lineRule="auto" w:line="276"/>
              <w:jc w:val="left"/>
            </w:pPr>
            <w:r>
              <w:rPr>
                <w:rFonts w:ascii="Times New Roman" w:hAnsi="Times New Roman" w:cs="Times New Roman" w:eastAsia="Times New Roman"/>
                <w:b w:val="false"/>
                <w:sz w:val="26"/>
              </w:rPr>
              <w:t>20 ngày kể từ ngày nhận hồ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yêu cầu ghi nhận tổ chức dịch vụ đại diện sở hữu công nghiệp theo Mẫu số 05 tại Phụ lục V Nghị định số 65/2023/NĐ-CP</w:t>
            </w:r>
          </w:p>
        </w:tc>
        <w:tc>
          <w:p/>
          <w:p>
            <w:pPr>
              <w:spacing w:after="0" w:before="0" w:lineRule="auto" w:line="276"/>
              <w:jc w:val="left"/>
            </w:pPr>
            <w:r>
              <w:rPr>
                <w:rFonts w:ascii="Times New Roman" w:hAnsi="Times New Roman" w:cs="Times New Roman" w:eastAsia="Times New Roman"/>
                <w:b w:val="false"/>
                <w:sz w:val="26"/>
              </w:rPr>
              <w:t>PL5.5 - Tờ khai yêu cầu ghi nhận tổ chức dịch vụ đại diện sở hữu công nghiệp.docx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Quyết định tuyển dụng hoặc hợp đồng lao động của tổ chức đối với người có Chứng chỉ hành nghề dịch vụ đại diện sở hữu công nghiệp (xuất trình bản chính để đối chiếu, trừ trường hợp bản sao đã được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Chứng từ nộp phí, lệ phí (trường hợp nộp phí, lệ phí qua dịch vụ bưu chính hoặc nộp trực tiếp vào tài khoản của Cục Sở hữu trí tuệ)</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Sở hữu trí tuệ - Bộ Khoa học và Công nghệ</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Bộ Khoa học  và  Công nghệ</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ghi nhận tổ chức dịch vụ đại diện sở hữu công nghiệp - 65/2023/NĐ-CP, Quyết định từ chối ghi nhận tổ chức dịch vụ đại diện sở hữu công nghiệp - 65/2023/NĐ-CP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50/2005/QH11</w:t>
            </w:r>
          </w:p>
        </w:tc>
        <w:tc>
          <w:p/>
          <w:p>
            <w:pPr>
              <w:spacing w:after="0" w:before="0" w:lineRule="auto" w:line="276"/>
              <w:jc w:val="left"/>
            </w:pPr>
            <w:r>
              <w:rPr>
                <w:rFonts w:ascii="Times New Roman" w:hAnsi="Times New Roman" w:cs="Times New Roman" w:eastAsia="Times New Roman"/>
                <w:b w:val="false"/>
                <w:sz w:val="26"/>
              </w:rPr>
              <w:t>50/2005/QH11 - Luật Sở hữu trí tuệ</w:t>
            </w:r>
          </w:p>
        </w:tc>
        <w:tc>
          <w:p/>
          <w:p>
            <w:pPr>
              <w:spacing w:after="0" w:before="0" w:lineRule="auto" w:line="276"/>
              <w:jc w:val="left"/>
            </w:pPr>
            <w:r>
              <w:rPr>
                <w:rFonts w:ascii="Times New Roman" w:hAnsi="Times New Roman" w:cs="Times New Roman" w:eastAsia="Times New Roman"/>
                <w:b w:val="false"/>
                <w:sz w:val="26"/>
              </w:rPr>
              <w:t>29-11-2005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36/2009/QH12</w:t>
            </w:r>
          </w:p>
        </w:tc>
        <w:tc>
          <w:p/>
          <w:p>
            <w:pPr>
              <w:spacing w:after="0" w:before="0" w:lineRule="auto" w:line="276"/>
              <w:jc w:val="left"/>
            </w:pPr>
            <w:r>
              <w:rPr>
                <w:rFonts w:ascii="Times New Roman" w:hAnsi="Times New Roman" w:cs="Times New Roman" w:eastAsia="Times New Roman"/>
                <w:b w:val="false"/>
                <w:sz w:val="26"/>
              </w:rPr>
              <w:t>36/2009/QH12 - Luật Sửa đổi, bổ sung một số điều của Luật Sở hữu trí tuệ</w:t>
            </w:r>
          </w:p>
        </w:tc>
        <w:tc>
          <w:p/>
          <w:p>
            <w:pPr>
              <w:spacing w:after="0" w:before="0" w:lineRule="auto" w:line="276"/>
              <w:jc w:val="left"/>
            </w:pPr>
            <w:r>
              <w:rPr>
                <w:rFonts w:ascii="Times New Roman" w:hAnsi="Times New Roman" w:cs="Times New Roman" w:eastAsia="Times New Roman"/>
                <w:b w:val="false"/>
                <w:sz w:val="26"/>
              </w:rPr>
              <w:t>19-06-2009</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65/2023/NĐ-CP</w:t>
            </w:r>
          </w:p>
        </w:tc>
        <w:tc>
          <w:p/>
          <w:p>
            <w:pPr>
              <w:spacing w:after="0" w:before="0" w:lineRule="auto" w:line="276"/>
              <w:jc w:val="left"/>
            </w:pPr>
            <w:r>
              <w:rPr>
                <w:rFonts w:ascii="Times New Roman" w:hAnsi="Times New Roman" w:cs="Times New Roman" w:eastAsia="Times New Roman"/>
                <w:b w:val="false"/>
                <w:sz w:val="26"/>
              </w:rPr>
              <w:t>Nghị định số 65/2023/NĐ-CP ngày 23/8/2023 của Chính phủ quy định chi tiết một số điều và biện pháp thi hành Luật Sở hữu trí tuệ về sở hữu công nghiệp, bảo vệ quyền sở hữu công nghiệp, quyền đối với giống cây trồng và quản lý nhà nước về sở hữu trí tuệ</w:t>
            </w:r>
          </w:p>
        </w:tc>
        <w:tc>
          <w:p/>
          <w:p>
            <w:pPr>
              <w:spacing w:after="0" w:before="0" w:lineRule="auto" w:line="276"/>
              <w:jc w:val="left"/>
            </w:pPr>
            <w:r>
              <w:rPr>
                <w:rFonts w:ascii="Times New Roman" w:hAnsi="Times New Roman" w:cs="Times New Roman" w:eastAsia="Times New Roman"/>
                <w:b w:val="false"/>
                <w:sz w:val="26"/>
              </w:rPr>
              <w:t>23-08-2023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31/2020/TT-BTC</w:t>
            </w:r>
          </w:p>
        </w:tc>
        <w:tc>
          <w:p/>
          <w:p>
            <w:pPr>
              <w:spacing w:after="0" w:before="0" w:lineRule="auto" w:line="276"/>
              <w:jc w:val="left"/>
            </w:pPr>
            <w:r>
              <w:rPr>
                <w:rFonts w:ascii="Times New Roman" w:hAnsi="Times New Roman" w:cs="Times New Roman" w:eastAsia="Times New Roman"/>
                <w:b w:val="false"/>
                <w:sz w:val="26"/>
              </w:rPr>
              <w:t>31/2020/TT-BTC - Thông tư sửa đổi, bổ sung một số điều của Thông tư số 263/2016/TT-BTC ngày 14 tháng 11 năm 2016 quy định mức thu, chế độ thu, nộp, quản lý và sử dụng phí, lệ phí sở hữu công nghiệp</w:t>
            </w:r>
          </w:p>
        </w:tc>
        <w:tc>
          <w:p/>
          <w:p>
            <w:pPr>
              <w:spacing w:after="0" w:before="0" w:lineRule="auto" w:line="276"/>
              <w:jc w:val="left"/>
            </w:pPr>
            <w:r>
              <w:rPr>
                <w:rFonts w:ascii="Times New Roman" w:hAnsi="Times New Roman" w:cs="Times New Roman" w:eastAsia="Times New Roman"/>
                <w:b w:val="false"/>
                <w:sz w:val="26"/>
              </w:rPr>
              <w:t>04-05-2020</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263/2016/TT-BTC</w:t>
            </w:r>
          </w:p>
        </w:tc>
        <w:tc>
          <w:p/>
          <w:p>
            <w:pPr>
              <w:spacing w:after="0" w:before="0" w:lineRule="auto" w:line="276"/>
              <w:jc w:val="left"/>
            </w:pPr>
            <w:r>
              <w:rPr>
                <w:rFonts w:ascii="Times New Roman" w:hAnsi="Times New Roman" w:cs="Times New Roman" w:eastAsia="Times New Roman"/>
                <w:b w:val="false"/>
                <w:sz w:val="26"/>
              </w:rPr>
              <w:t>263/2016/TT-BTC - Thông tư quy định mức thu, chế độ thu, nộp, quản lý và sử dụng phí, lệ phí sở hữu công nghiệp</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42/2019/QH14</w:t>
            </w:r>
          </w:p>
        </w:tc>
        <w:tc>
          <w:p/>
          <w:p>
            <w:pPr>
              <w:spacing w:after="0" w:before="0" w:lineRule="auto" w:line="276"/>
              <w:jc w:val="left"/>
            </w:pPr>
            <w:r>
              <w:rPr>
                <w:rFonts w:ascii="Times New Roman" w:hAnsi="Times New Roman" w:cs="Times New Roman" w:eastAsia="Times New Roman"/>
                <w:b w:val="false"/>
                <w:sz w:val="26"/>
              </w:rPr>
              <w:t>42/2019/QH14 - Luật Sửa đổi, bổ sung một số điều của Luật Kinh doanh bảo hiểm, Luật Sở hữu trí tuệ</w:t>
            </w:r>
          </w:p>
        </w:tc>
        <w:tc>
          <w:p/>
          <w:p>
            <w:pPr>
              <w:spacing w:after="0" w:before="0" w:lineRule="auto" w:line="276"/>
              <w:jc w:val="left"/>
            </w:pPr>
            <w:r>
              <w:rPr>
                <w:rFonts w:ascii="Times New Roman" w:hAnsi="Times New Roman" w:cs="Times New Roman" w:eastAsia="Times New Roman"/>
                <w:b w:val="false"/>
                <w:sz w:val="26"/>
              </w:rPr>
              <w:t>14-06-2019</w:t>
            </w:r>
          </w:p>
        </w:tc>
        <w:tc>
          <w:p/>
        </w:tc>
      </w:tr>
      <w:tr>
        <w:tc>
          <w:p/>
          <w:p>
            <w:pPr>
              <w:spacing w:after="0" w:before="0" w:lineRule="auto" w:line="276"/>
              <w:jc w:val="left"/>
            </w:pPr>
            <w:r>
              <w:rPr>
                <w:rFonts w:ascii="Times New Roman" w:hAnsi="Times New Roman" w:cs="Times New Roman" w:eastAsia="Times New Roman"/>
                <w:b w:val="false"/>
                <w:sz w:val="26"/>
              </w:rPr>
              <w:t>07/2022/QH15</w:t>
            </w:r>
          </w:p>
        </w:tc>
        <w:tc>
          <w:p/>
          <w:p>
            <w:pPr>
              <w:spacing w:after="0" w:before="0" w:lineRule="auto" w:line="276"/>
              <w:jc w:val="left"/>
            </w:pPr>
            <w:r>
              <w:rPr>
                <w:rFonts w:ascii="Times New Roman" w:hAnsi="Times New Roman" w:cs="Times New Roman" w:eastAsia="Times New Roman"/>
                <w:b w:val="false"/>
                <w:sz w:val="26"/>
              </w:rPr>
              <w:t>07/2022/QH15 - Luật sửa đổi, bổ sung một số điều của Luật Sở hữu trí tuệ</w:t>
            </w:r>
          </w:p>
        </w:tc>
        <w:tc>
          <w:p/>
          <w:p>
            <w:pPr>
              <w:spacing w:after="0" w:before="0" w:lineRule="auto" w:line="276"/>
              <w:jc w:val="left"/>
            </w:pPr>
            <w:r>
              <w:rPr>
                <w:rFonts w:ascii="Times New Roman" w:hAnsi="Times New Roman" w:cs="Times New Roman" w:eastAsia="Times New Roman"/>
                <w:b w:val="false"/>
                <w:sz w:val="26"/>
              </w:rPr>
              <w:t>16-06-2022</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2026-05-01T12:39:29Z</dcterms:created>
  <dc:creator>Apache POI</dc:creator>
</cp:coreProperties>
</file>