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1.011928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1442/QĐ-BKHCN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xóa tên tổ chức dịch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 Bước 1: Tiếp nhận hồ sơ 
Tổ chức, cá nhân nộp 01 bộ hồ sơ yêu cầu xóa tên tổ chức dịch vụ đại diện sở hữu công nghiệp đến Cục Sở hữu trí tuệ.
- Bước 2: Xử lý hồ sơ 
Trong thời hạn 20 ngày kể từ ngày nhận hồ sơ, Cục Sở hữu trí tuệ xem xét hồ sơ theo quy định sau đây:
- Trường hợp hồ sơ hợp lệ, Cục Sở hữu trí tuệ ra quyết định xóa tên tổ chức dịch vụ đại diện sở hữu công nghiệp; xóa tên tổ chức dịch vụ đại diện sở hữu công nghiệp trong Sổ đăng ký quốc gia về đại diện sở hữu công nghiệp và công bố trên Công báo Sở hữu công nghiệp, Cổng thông tin điện tử của Cục Sở hữu trí tuệ trong thời hạn 02 tháng kể từ ngày ra quyết định; 
- Trường hợp hồ sơ không hợp lệ, Cục Sở hữu trí tuệ thông báo các thiếu sót của hồ sơ và ấn định thời hạn 01 tháng kể từ ngày ra thông báo để người nộp hồ sơ sửa chữa thiếu sót;
- Trường hợp người nộp hồ sơ không sửa chữa thiếu sót hoặc sửa chữa thiếu sót không đạt yêu cầu, Cục Sở hữu trí tuệ ra quyết định từ chối yêu cầu xóa tên tổ chức dịch vụ đại diện sở hữu công nghiệp,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150.000 Đồng</w:t>
              <w:t xml:space="preserve"> (Lệ phí đăng bạ Quyết định xóa tên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xóa tên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Phí : 150.000 Đồng</w:t>
              <w:t xml:space="preserve"> (Lệ phí công bố Quyết định xóa tên tổ chức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20 ngày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150.000 Đồng</w:t>
              <w:t xml:space="preserve"> (Lệ phí đăng bạ Quyết định xóa tên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Phí : 150.000 Đồng</w:t>
              <w:t xml:space="preserve"> (Lệ phí công bố Quyết định xóa tên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xóa tên tổ chức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20 ngày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150.000 Đồng</w:t>
              <w:t xml:space="preserve"> (Lệ phí công bố Quyết định xóa tên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Phí : 150.000 Đồng</w:t>
              <w:t xml:space="preserve"> (Lệ phí đăng bạ Quyết định xóa tên tổ chức dịch vụ đại diện sở hữu công nghiệp)</w:t>
            </w:r>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cầu xóa tên tổ chức dịch vụ đại diện sở hữu công nghiệp)</w:t>
            </w:r>
          </w:p>
        </w:tc>
        <w:tc>
          <w:p/>
          <w:p>
            <w:pPr>
              <w:spacing w:after="0" w:before="0" w:lineRule="auto" w:line="276"/>
              <w:jc w:val="left"/>
            </w:pPr>
            <w:r>
              <w:rPr>
                <w:rFonts w:ascii="Times New Roman" w:hAnsi="Times New Roman" w:cs="Times New Roman" w:eastAsia="Times New Roman"/>
                <w:b w:val="false"/>
                <w:sz w:val="26"/>
              </w:rPr>
              <w:t>20 ngày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xóa tên tổ chức dịch vụ đại diện sở hữu công nghiệp theo Mẫu số 08 tại Phụ lục V Nghị định số 65/2023/NĐ-CP</w:t>
            </w:r>
          </w:p>
        </w:tc>
        <w:tc>
          <w:p/>
          <w:p>
            <w:pPr>
              <w:spacing w:after="0" w:before="0" w:lineRule="auto" w:line="276"/>
              <w:jc w:val="left"/>
            </w:pPr>
            <w:r>
              <w:rPr>
                <w:rFonts w:ascii="Times New Roman" w:hAnsi="Times New Roman" w:cs="Times New Roman" w:eastAsia="Times New Roman"/>
                <w:b w:val="false"/>
                <w:sz w:val="26"/>
              </w:rPr>
              <w:t>PL5.8 - Tờ khai yêu cầu xóa tên tổ chức dịch vụ đại diện sở hữu công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tổ chức không còn đủ điều kiện kinh doanh dịch vụ đại diện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xóa tên tổ chức dịch vụ đại diện sở hữu công nghiệp - 65/2023/NĐ-CP, Quyết định từ chối xóa tên tổ chức dịch vụ đại diện sở hữu công nghiệp - 65/2023/NĐ-CP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31/2020/TT-BTC</w:t>
            </w:r>
          </w:p>
        </w:tc>
        <w:tc>
          <w:p/>
          <w:p>
            <w:pPr>
              <w:spacing w:after="0" w:before="0" w:lineRule="auto" w:line="276"/>
              <w:jc w:val="left"/>
            </w:pPr>
            <w:r>
              <w:rPr>
                <w:rFonts w:ascii="Times New Roman" w:hAnsi="Times New Roman" w:cs="Times New Roman" w:eastAsia="Times New Roman"/>
                <w:b w:val="false"/>
                <w:sz w:val="26"/>
              </w:rPr>
              <w:t>31/2020/TT-BTC - Thông tư sửa đổi, bổ sung một số điều của Thông tư số 263/2016/TT-BTC ngày 14 tháng 11 năm 2016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04-05-2020</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2026-05-01T12:16:27Z</dcterms:created>
  <dc:creator>Apache POI</dc:creator>
</cp:coreProperties>
</file>