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giám định viên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Cá nhân nộp 01 bộ hồ sơ yêu cầu cấp Thẻ giám định viên sở hữu công nghiệp đến Cục Sở hữu trí tuệ
- Bước 2: Thẩm định hồ sơ
Trong thời hạn 01 tháng kể từ ngày nhận hồ sơ, Cục Sở hữu trí tuệ xem xét hồ sơ theo quy định sau đây:
+ Trường hợp hồ sơ hợp lệ, Cục Sở hữu trí tuệ ra quyết định cấp Thẻ giám định viên, trong đó ghi rõ họ tên, ngày sinh, địa chỉ thường trú, số Chứng minh nhân dân/Căn cước công dân, số Thẻ giám định và chuyên ngành giám định của người được cấp Thẻ; ghi nhận việc cấp Thẻ vào Sổ đăng ký quốc gia về giám định sở hữu công nghiệp và công bố trên Công báo sở hữu công nghiệp, cổng thông tin điện tử của Cục Sở hữu trí tuệ đó trong thời hạn 02 tháng kể từ ngày ra quyết định;;
+ Trường hợp hồ sơ không hợp lệ, Cục Sở hữu trí tuệ ra thông báo dự định từ chối chấp nhận hồ sơ, trong đó nêu rõ lý do và ấn định thời hạn 01 tháng kể từ ngày ra thông báo để người yêu cầu cấp Thẻ giám định viên sửa chữa thiếu sót hoặc có ý kiến phản đối. Khi hết thời hạn đã ấn định mà người yêu cầu cấp Thẻ giám định viên không sửa chữa thiếu sót hoặc sửa chữa thiếu sót không đạt yêu cầu, không có ý kiến phản đối hoặc có ý kiến phản đối nhưng không xác đáng thì Cục Sở hữu trí tuệ ra quyết định từ chối cấp Thẻ giám định viên,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Thẻ giám định viên sở hữu công nghiệp)</w:t>
            </w:r>
          </w:p>
        </w:tc>
        <w:tc>
          <w:p/>
          <w:p>
            <w:pPr>
              <w:spacing w:after="0" w:before="0" w:lineRule="auto" w:line="276"/>
              <w:jc w:val="left"/>
            </w:pPr>
            <w:r>
              <w:rPr>
                <w:rFonts w:ascii="Times New Roman" w:hAnsi="Times New Roman" w:cs="Times New Roman" w:eastAsia="Times New Roman"/>
                <w:b w:val="false"/>
                <w:sz w:val="26"/>
              </w:rPr>
              <w:t>01 tháng kể từ ngày tiếp nhận hồ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Thẻ giám định viên sở hữu công nghiệp)</w:t>
            </w:r>
          </w:p>
        </w:tc>
        <w:tc>
          <w:p/>
          <w:p>
            <w:pPr>
              <w:spacing w:after="0" w:before="0" w:lineRule="auto" w:line="276"/>
              <w:jc w:val="left"/>
            </w:pPr>
            <w:r>
              <w:rPr>
                <w:rFonts w:ascii="Times New Roman" w:hAnsi="Times New Roman" w:cs="Times New Roman" w:eastAsia="Times New Roman"/>
                <w:b w:val="false"/>
                <w:sz w:val="26"/>
              </w:rPr>
              <w:t>01 tháng kể từ ngày tiếp nhận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Thẻ giám định viên sở hữu công nghiệp)</w:t>
            </w:r>
          </w:p>
        </w:tc>
        <w:tc>
          <w:p/>
          <w:p>
            <w:pPr>
              <w:spacing w:after="0" w:before="0" w:lineRule="auto" w:line="276"/>
              <w:jc w:val="left"/>
            </w:pPr>
            <w:r>
              <w:rPr>
                <w:rFonts w:ascii="Times New Roman" w:hAnsi="Times New Roman" w:cs="Times New Roman" w:eastAsia="Times New Roman"/>
                <w:b w:val="false"/>
                <w:sz w:val="26"/>
              </w:rPr>
              <w:t>01 tháng kể từ ngày tiếp nhận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Thẻ giám định viên sở hữu công nghiệp theo Mẫu số 02 tại Phụ lục VI Nghị định số 65/2023/NĐ-CP</w:t>
            </w:r>
          </w:p>
        </w:tc>
        <w:tc>
          <w:p/>
          <w:p>
            <w:pPr>
              <w:spacing w:after="0" w:before="0" w:lineRule="auto" w:line="276"/>
              <w:jc w:val="left"/>
            </w:pPr>
            <w:r>
              <w:rPr>
                <w:rFonts w:ascii="Times New Roman" w:hAnsi="Times New Roman" w:cs="Times New Roman" w:eastAsia="Times New Roman"/>
                <w:b w:val="false"/>
                <w:sz w:val="26"/>
              </w:rPr>
              <w:t>PL6.2 - Tờ khai yêu cầu cấp Thẻ giám định viên sở hữu công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minh nhân dân (xuất trình bản chính để đối chiếu, trừ trường hợp bản sao đã được chứng thực), trừ trường hợp Tờ khai yêu cầu cấp Thẻ giám định viên sở hữu công nghiệp đã có thông tin về số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Ảnh 3x4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Thẻ giám định viên sở hữu công nghiệp - 65/2023/NĐ-CP, Quyết định từ chối cấp Thẻ giám định viên sở hữu công nghiệp - 65/2023/NĐ-CP, Thẻ giám định viên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2026-05-22T18:50:09Z</dcterms:created>
  <dc:creator>Apache POI</dc:creator>
</cp:coreProperties>
</file>