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1.011933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1442/QĐ-BKHCN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thu hồi Thẻ giám định viên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thực hiện:
- Bước 1: Tiếp nhận hồ sơ 
Tổ chức, cá nhân nộp 01 bộ hồ sơ yêu cầu thu hồi Thẻ giám định viên sở hữu công nghiệp đến Cục Sở hữu trí tuệ.
- Bước 2: Thẩm định hồ sơ
+ Trong thời hạn 01 tháng kể từ ngày nhận được yêu cầu thu hồi Thẻ giám định viên sở hữu công nghiệp, Cục Sở hữu trí tuệ ra thông báo bằng văn bản về yêu cầu này cho người được cấp Thẻ giám định viên sở hữu công nghiệp và ấn định thời hạn là 01 tháng kể từ ngày ra thông báo để người đó có ý kiến. 
+ Trên cơ sở xem xét ý kiến của các bên, Cục Sở hữu trí tuệ ra quyết định thu hồi Thẻ giám định viên sở hữu công nghiệp hoặc quyết định từ chối thu hồi Thẻ giám định viên sở hữu công nghiệp cho các bên.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Tháng</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tháng kể từ ngày tiếp nhận hồ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Tháng</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tháng kể từ ngày tiếp nhận hồ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Tháng</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tháng kể từ ngày tiếp nhận hồ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yêu cầu thu hồi Thẻ giám định viên sở hữu công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cứ chứng minh căn cứ đề nghị thu hồi Thẻ giám định viên sở hữu công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Thẻ giám định viên sở hữu công nghiệp - 65/2023/NĐ-CP, Quyết định từ chối thu hồi Thẻ giám định viên sở hữu công nghiệp - 65/2023/NĐ-CP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50/2005/QH11 - 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36/2009/QH12</w:t>
            </w:r>
          </w:p>
        </w:tc>
        <w:tc>
          <w:p/>
          <w:p>
            <w:pPr>
              <w:spacing w:after="0" w:before="0" w:lineRule="auto" w:line="276"/>
              <w:jc w:val="left"/>
            </w:pPr>
            <w:r>
              <w:rPr>
                <w:rFonts w:ascii="Times New Roman" w:hAnsi="Times New Roman" w:cs="Times New Roman" w:eastAsia="Times New Roman"/>
                <w:b w:val="false"/>
                <w:sz w:val="26"/>
              </w:rPr>
              <w:t>36/2009/QH12 -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65/2023/NĐ-CP</w:t>
            </w:r>
          </w:p>
        </w:tc>
        <w:tc>
          <w:p/>
          <w:p>
            <w:pPr>
              <w:spacing w:after="0" w:before="0" w:lineRule="auto" w:line="276"/>
              <w:jc w:val="left"/>
            </w:pPr>
            <w:r>
              <w:rPr>
                <w:rFonts w:ascii="Times New Roman" w:hAnsi="Times New Roman" w:cs="Times New Roman" w:eastAsia="Times New Roman"/>
                <w:b w:val="false"/>
                <w:sz w:val="26"/>
              </w:rPr>
              <w:t>Nghị định số 65/2023/NĐ-CP ngày 23/8/2023 của Chính phủ quy định chi tiết một số điều và biện pháp thi hành Luật Sở hữu trí tuệ về sở hữu công nghiệp, bảo vệ quyền sở hữu công nghiệp, quyền đối với giống cây trồng và quản lý nhà nước về sở hữu trí tuệ</w:t>
            </w:r>
          </w:p>
        </w:tc>
        <w:tc>
          <w:p/>
          <w:p>
            <w:pPr>
              <w:spacing w:after="0" w:before="0" w:lineRule="auto" w:line="276"/>
              <w:jc w:val="left"/>
            </w:pPr>
            <w:r>
              <w:rPr>
                <w:rFonts w:ascii="Times New Roman" w:hAnsi="Times New Roman" w:cs="Times New Roman" w:eastAsia="Times New Roman"/>
                <w:b w:val="false"/>
                <w:sz w:val="26"/>
              </w:rPr>
              <w:t>23-08-2023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42/2019/QH14</w:t>
            </w:r>
          </w:p>
        </w:tc>
        <w:tc>
          <w:p/>
          <w:p>
            <w:pPr>
              <w:spacing w:after="0" w:before="0" w:lineRule="auto" w:line="276"/>
              <w:jc w:val="left"/>
            </w:pPr>
            <w:r>
              <w:rPr>
                <w:rFonts w:ascii="Times New Roman" w:hAnsi="Times New Roman" w:cs="Times New Roman" w:eastAsia="Times New Roman"/>
                <w:b w:val="false"/>
                <w:sz w:val="26"/>
              </w:rPr>
              <w:t>42/2019/QH14 - Luật Sửa đổi, bổ sung một số điều của Luật Kinh doanh bảo hiểm, Luật Sở hữu trí tuệ</w:t>
            </w:r>
          </w:p>
        </w:tc>
        <w:tc>
          <w:p/>
          <w:p>
            <w:pPr>
              <w:spacing w:after="0" w:before="0" w:lineRule="auto" w:line="276"/>
              <w:jc w:val="left"/>
            </w:pPr>
            <w:r>
              <w:rPr>
                <w:rFonts w:ascii="Times New Roman" w:hAnsi="Times New Roman" w:cs="Times New Roman" w:eastAsia="Times New Roman"/>
                <w:b w:val="false"/>
                <w:sz w:val="26"/>
              </w:rPr>
              <w:t>14-06-2019</w:t>
            </w:r>
          </w:p>
        </w:tc>
        <w:tc>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thu hồi Thẻ giám định viên sở hữu công nghiệp:
- Có chứng cứ khẳng định rằng Thẻ giám định viên được cấp trái với quy định pháp luật;
- Người được cấp Thẻ giám định viên không còn đáp ứng các điều kiện quy định tại khoản 3 Điều 201 của Luật Sở hữu trí tuệ;
- Người được cấp Thẻ giám định viên từ bỏ hoạt động giám định;
- Người được cấp Thẻ giám định viên bị xử phạt bằng hình thức thu hồi Thẻ giám định viên theo quyết định của cơ quan có thẩm quyền.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2026-05-22T18:51:00Z</dcterms:created>
  <dc:creator>Apache POI</dc:creator>
</cp:coreProperties>
</file>