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1.011945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2103/QĐ-UBND_ĐT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Công nhận hộ làm nông nghiệp, lâm nghiệp, ngư nghiệp và diêm nghiệp có mức sống trung bình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Bảo trợ xã hội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Hộ gia đình có Giấy đề nghị xác định hộ có mức sống trung bình theo Mẫu số 01 tại Phụ lục ban hành kèm theo Quyết định số 24/2021/QĐ-TTg gửi Ủy ban nhân dân cấp xã.
Bước 2: Chủ tịch Ủy ban nhân dân cấp xã chỉ đạo Ban Chỉ đạo rà soát cấp xã tổ chức xác định thu nhập thông tin, tính điểm của hộ gia đình.
Bước 3: Niêm yết, thông báo công khai kết quả tại trụ sở xã trong thời gian 05 ngày làm việc, tổ chức phúc tra trong thời gian 03 ngày làm việc (nếu có khiếu nại).
Bước 4: Chủ tịch Ủy ban nhân dân cấp xã quyết định công nhận hộ làm nông nghiệp, lâm nghiệp, ngư nghiệp và diêm nghiệp có mức sống trung bình. Trường hợp không đủ điều kiện theo quy định, Chủ tịch Ủy ban nhân dân cấp xã trả lời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Mỗi tháng 01 lần, thực hiện rà soát từ ngày 15 hàng tháng; cấp giấy chứng nhận hộ nghèo, hộ cận nghèo không quá 15 ngày kể từ ngày bắt đầu rà soát. </w:t>
            </w:r>
          </w:p>
        </w:tc>
        <w:tc>
          <w:p/>
          <w:p>
            <w:pPr>
              <w:spacing w:after="0" w:before="0" w:lineRule="auto" w:line="276"/>
              <w:jc w:val="left"/>
            </w:pPr>
            <w:r>
              <w:rPr>
                <w:rFonts w:ascii="Times New Roman" w:hAnsi="Times New Roman" w:cs="Times New Roman" w:eastAsia="Times New Roman"/>
                <w:b w:val="false"/>
                <w:sz w:val="26"/>
              </w:rPr>
              <w:t>Phí : 0 Đồng</w:t>
              <w:t xml:space="preserve"> (Không có)</w:t>
            </w:r>
          </w:p>
        </w:tc>
        <w:tc>
          <w:p/>
          <w:p>
            <w:pPr>
              <w:spacing w:after="0" w:before="0" w:lineRule="auto" w:line="276"/>
              <w:jc w:val="left"/>
            </w:pPr>
            <w:r>
              <w:rPr>
                <w:rFonts w:ascii="Times New Roman" w:hAnsi="Times New Roman" w:cs="Times New Roman" w:eastAsia="Times New Roman"/>
                <w:b w:val="false"/>
                <w:sz w:val="26"/>
              </w:rPr>
              <w:t>Nộp hồ sơ trực tiếp tại Bộ phận Tiếp nhận và trả kết quả UBND cấp xã</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Mỗi tháng 01 lần, thực hiện rà soát từ ngày 15 hàng tháng; cấp giấy chứng nhận hộ nghèo, hộ cận nghèo không quá 15 ngày kể từ ngày bắt đầu rà soát. </w:t>
            </w:r>
          </w:p>
        </w:tc>
        <w:tc>
          <w:p/>
          <w:p>
            <w:pPr>
              <w:spacing w:after="0" w:before="0" w:lineRule="auto" w:line="276"/>
              <w:jc w:val="left"/>
            </w:pPr>
            <w:r>
              <w:rPr>
                <w:rFonts w:ascii="Times New Roman" w:hAnsi="Times New Roman" w:cs="Times New Roman" w:eastAsia="Times New Roman"/>
                <w:b w:val="false"/>
                <w:sz w:val="26"/>
              </w:rPr>
              <w:t>Phí : 0 Đồng</w:t>
              <w:t xml:space="preserve"> (Không có)</w:t>
            </w:r>
          </w:p>
        </w:tc>
        <w:tc>
          <w:p/>
          <w:p>
            <w:pPr>
              <w:spacing w:after="0" w:before="0" w:lineRule="auto" w:line="276"/>
              <w:jc w:val="left"/>
            </w:pPr>
            <w:r>
              <w:rPr>
                <w:rFonts w:ascii="Times New Roman" w:hAnsi="Times New Roman" w:cs="Times New Roman" w:eastAsia="Times New Roman"/>
                <w:b w:val="false"/>
                <w:sz w:val="26"/>
              </w:rPr>
              <w:t>Gửi hồ sơ qua đường bưu điện đến Bộ phận Tiếp nhận và trả kết quả UBND cấp xã.</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đề nghị xác định hộ có mức sống trung bình</w:t>
            </w:r>
          </w:p>
        </w:tc>
        <w:tc>
          <w:p/>
          <w:p>
            <w:pPr>
              <w:spacing w:after="0" w:before="0" w:lineRule="auto" w:line="276"/>
              <w:jc w:val="left"/>
            </w:pPr>
            <w:r>
              <w:rPr>
                <w:rFonts w:ascii="Times New Roman" w:hAnsi="Times New Roman" w:cs="Times New Roman" w:eastAsia="Times New Roman"/>
                <w:b w:val="false"/>
                <w:sz w:val="26"/>
              </w:rPr>
              <w:t>GDN xac dinh ho co muc song trung binh.doc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Chủ tịch Ủy ban nhân dân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thuộc UBND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của Chủ tịch Ủy ban nhân dân cấp xã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25/2008/QH12</w:t>
            </w:r>
          </w:p>
        </w:tc>
        <w:tc>
          <w:p/>
          <w:p>
            <w:pPr>
              <w:spacing w:after="0" w:before="0" w:lineRule="auto" w:line="276"/>
              <w:jc w:val="left"/>
            </w:pPr>
            <w:r>
              <w:rPr>
                <w:rFonts w:ascii="Times New Roman" w:hAnsi="Times New Roman" w:cs="Times New Roman" w:eastAsia="Times New Roman"/>
                <w:b w:val="false"/>
                <w:sz w:val="26"/>
              </w:rPr>
              <w:t>Luật Bảo hiểm y tế</w:t>
            </w:r>
          </w:p>
        </w:tc>
        <w:tc>
          <w:p/>
          <w:p>
            <w:pPr>
              <w:spacing w:after="0" w:before="0" w:lineRule="auto" w:line="276"/>
              <w:jc w:val="left"/>
            </w:pPr>
            <w:r>
              <w:rPr>
                <w:rFonts w:ascii="Times New Roman" w:hAnsi="Times New Roman" w:cs="Times New Roman" w:eastAsia="Times New Roman"/>
                <w:b w:val="false"/>
                <w:sz w:val="26"/>
              </w:rPr>
              <w:t>14-11-2008</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146/2018/NĐ-CP</w:t>
            </w:r>
          </w:p>
        </w:tc>
        <w:tc>
          <w:p/>
          <w:p>
            <w:pPr>
              <w:spacing w:after="0" w:before="0" w:lineRule="auto" w:line="276"/>
              <w:jc w:val="left"/>
            </w:pPr>
            <w:r>
              <w:rPr>
                <w:rFonts w:ascii="Times New Roman" w:hAnsi="Times New Roman" w:cs="Times New Roman" w:eastAsia="Times New Roman"/>
                <w:b w:val="false"/>
                <w:sz w:val="26"/>
              </w:rPr>
              <w:t>Nghị định 146/2018/NĐ-CP</w:t>
            </w:r>
          </w:p>
        </w:tc>
        <w:tc>
          <w:p/>
          <w:p>
            <w:pPr>
              <w:spacing w:after="0" w:before="0" w:lineRule="auto" w:line="276"/>
              <w:jc w:val="left"/>
            </w:pPr>
            <w:r>
              <w:rPr>
                <w:rFonts w:ascii="Times New Roman" w:hAnsi="Times New Roman" w:cs="Times New Roman" w:eastAsia="Times New Roman"/>
                <w:b w:val="false"/>
                <w:sz w:val="26"/>
              </w:rPr>
              <w:t>17-10-2018</w:t>
            </w:r>
          </w:p>
        </w:tc>
        <w:tc>
          <w:p/>
        </w:tc>
      </w:tr>
      <w:tr>
        <w:tc>
          <w:p/>
          <w:p>
            <w:pPr>
              <w:spacing w:after="0" w:before="0" w:lineRule="auto" w:line="276"/>
              <w:jc w:val="left"/>
            </w:pPr>
            <w:r>
              <w:rPr>
                <w:rFonts w:ascii="Times New Roman" w:hAnsi="Times New Roman" w:cs="Times New Roman" w:eastAsia="Times New Roman"/>
                <w:b w:val="false"/>
                <w:sz w:val="26"/>
              </w:rPr>
              <w:t>07/2021/NĐ-CP</w:t>
            </w:r>
          </w:p>
        </w:tc>
        <w:tc>
          <w:p/>
          <w:p>
            <w:pPr>
              <w:spacing w:after="0" w:before="0" w:lineRule="auto" w:line="276"/>
              <w:jc w:val="left"/>
            </w:pPr>
            <w:r>
              <w:rPr>
                <w:rFonts w:ascii="Times New Roman" w:hAnsi="Times New Roman" w:cs="Times New Roman" w:eastAsia="Times New Roman"/>
                <w:b w:val="false"/>
                <w:sz w:val="26"/>
              </w:rPr>
              <w:t>Nghị định số 07/2021/NĐ-CP ngày 27 tháng 01 năm 2021 của Chính phủ về chuẩn nghèo đa chiều giai đoạn 2021-2025;</w:t>
            </w:r>
          </w:p>
        </w:tc>
        <w:tc>
          <w:p/>
          <w:p>
            <w:pPr>
              <w:spacing w:after="0" w:before="0" w:lineRule="auto" w:line="276"/>
              <w:jc w:val="left"/>
            </w:pPr>
            <w:r>
              <w:rPr>
                <w:rFonts w:ascii="Times New Roman" w:hAnsi="Times New Roman" w:cs="Times New Roman" w:eastAsia="Times New Roman"/>
                <w:b w:val="false"/>
                <w:sz w:val="26"/>
              </w:rPr>
              <w:t>27-01-2021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24/2021/QĐ-TTg</w:t>
            </w:r>
          </w:p>
        </w:tc>
        <w:tc>
          <w:p/>
          <w:p>
            <w:pPr>
              <w:spacing w:after="0" w:before="0" w:lineRule="auto" w:line="276"/>
              <w:jc w:val="left"/>
            </w:pPr>
            <w:r>
              <w:rPr>
                <w:rFonts w:ascii="Times New Roman" w:hAnsi="Times New Roman" w:cs="Times New Roman" w:eastAsia="Times New Roman"/>
                <w:b w:val="false"/>
                <w:sz w:val="26"/>
              </w:rPr>
              <w:t>24/2021/QĐ-TTg</w:t>
            </w:r>
          </w:p>
        </w:tc>
        <w:tc>
          <w:p/>
          <w:p>
            <w:pPr>
              <w:spacing w:after="0" w:before="0" w:lineRule="auto" w:line="276"/>
              <w:jc w:val="left"/>
            </w:pPr>
            <w:r>
              <w:rPr>
                <w:rFonts w:ascii="Times New Roman" w:hAnsi="Times New Roman" w:cs="Times New Roman" w:eastAsia="Times New Roman"/>
                <w:b w:val="false"/>
                <w:sz w:val="26"/>
              </w:rPr>
              <w:t>16-07-2021</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68/2020/QH14</w:t>
            </w:r>
          </w:p>
        </w:tc>
        <w:tc>
          <w:p/>
          <w:p>
            <w:pPr>
              <w:spacing w:after="0" w:before="0" w:lineRule="auto" w:line="276"/>
              <w:jc w:val="left"/>
            </w:pPr>
            <w:r>
              <w:rPr>
                <w:rFonts w:ascii="Times New Roman" w:hAnsi="Times New Roman" w:cs="Times New Roman" w:eastAsia="Times New Roman"/>
                <w:b w:val="false"/>
                <w:sz w:val="26"/>
              </w:rPr>
              <w:t>Luật Cư trú 2020</w:t>
            </w:r>
          </w:p>
        </w:tc>
        <w:tc>
          <w:p/>
          <w:p>
            <w:pPr>
              <w:spacing w:after="0" w:before="0" w:lineRule="auto" w:line="276"/>
              <w:jc w:val="left"/>
            </w:pPr>
            <w:r>
              <w:rPr>
                <w:rFonts w:ascii="Times New Roman" w:hAnsi="Times New Roman" w:cs="Times New Roman" w:eastAsia="Times New Roman"/>
                <w:b w:val="false"/>
                <w:sz w:val="26"/>
              </w:rPr>
              <w:t>13-11-2020</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Thông tư 07/2021/TT-BLĐTBXH</w:t>
            </w:r>
          </w:p>
        </w:tc>
        <w:tc>
          <w:p/>
          <w:p>
            <w:pPr>
              <w:spacing w:after="0" w:before="0" w:lineRule="auto" w:line="276"/>
              <w:jc w:val="left"/>
            </w:pPr>
            <w:r>
              <w:rPr>
                <w:rFonts w:ascii="Times New Roman" w:hAnsi="Times New Roman" w:cs="Times New Roman" w:eastAsia="Times New Roman"/>
                <w:b w:val="false"/>
                <w:sz w:val="26"/>
              </w:rPr>
              <w:t>Hướng dẫn phương pháp rà soát, phân loại hộ nghèo, hộ cận nghèo; xác định thu nhập của hộ làm nông nghiệp, lâm nghiệp, ngư nghiệp, diêm nghiệp có mức sống trung bình giai đoạn 2022-2025 và mẫu biểu báo cáo</w:t>
            </w:r>
          </w:p>
        </w:tc>
        <w:tc>
          <w:p/>
          <w:p>
            <w:pPr>
              <w:spacing w:after="0" w:before="0" w:lineRule="auto" w:line="276"/>
              <w:jc w:val="left"/>
            </w:pPr>
            <w:r>
              <w:rPr>
                <w:rFonts w:ascii="Times New Roman" w:hAnsi="Times New Roman" w:cs="Times New Roman" w:eastAsia="Times New Roman"/>
                <w:b w:val="false"/>
                <w:sz w:val="26"/>
              </w:rPr>
              <w:t>18-07-2021</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76/2021/NQ-HĐND</w:t>
            </w:r>
          </w:p>
        </w:tc>
        <w:tc>
          <w:p/>
          <w:p>
            <w:pPr>
              <w:spacing w:after="0" w:before="0" w:lineRule="auto" w:line="276"/>
              <w:jc w:val="left"/>
            </w:pPr>
            <w:r>
              <w:rPr>
                <w:rFonts w:ascii="Times New Roman" w:hAnsi="Times New Roman" w:cs="Times New Roman" w:eastAsia="Times New Roman"/>
                <w:b w:val="false"/>
                <w:sz w:val="26"/>
              </w:rPr>
              <w:t>Quy định chuẩn nghèo đa chiều trên địa bàn thành phố Đà Nẵng giai đoạn 2022-2025</w:t>
            </w:r>
          </w:p>
        </w:tc>
        <w:tc>
          <w:p/>
          <w:p>
            <w:pPr>
              <w:spacing w:after="0" w:before="0" w:lineRule="auto" w:line="276"/>
              <w:jc w:val="left"/>
            </w:pPr>
            <w:r>
              <w:rPr>
                <w:rFonts w:ascii="Times New Roman" w:hAnsi="Times New Roman" w:cs="Times New Roman" w:eastAsia="Times New Roman"/>
                <w:b w:val="false"/>
                <w:sz w:val="26"/>
              </w:rPr>
              <w:t>17-12-2021</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Hộ gia đình cư trú hợp pháp và đăng ký hộ khẩu thường trú trên địa bàn (hoặc đăng ký tạm trú từ 06 tháng trở lên) trong các lĩnh vực nông nghiệp, ngư nghiệp, lâm nghiệp có giấy đề nghị xác nhận hộ có mức sống trung bình.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2026-05-08T14:42:13Z</dcterms:created>
  <dc:creator>Apache POI</dc:creator>
</cp:coreProperties>
</file>