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1334/QĐ-BXD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xây dựng cho nhà thầu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thầu nước ngoài nộp trực tiếp, qua dịch vụ bưu chính hoặc trực tuyến 01 bộ hồ sơ đề nghị cấp giấy phép hoạt động xây dựng cho Trung tâm phục vụ hành chính công tỉnh hoặc Bộ phận tiếp nhận và trả kết quả giải quyết TTHC của Sở Xây dựng.</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Sở Xây dựng xem xét, cấp giấy phép hoạt động xây dựng cho nhà thầu nước ngoài theo Mẫu số 05 (đối với tổ chức), Mẫu số 06 (đối với cá nhân) Phụ lục III Nghị định số 15/2021/NĐ-CP. Trường hợp không cấp, Sở Xây dựng phải trả lời bằng văn bản cho nhà thầu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 Nhà thầu nước ngoài nộp trực tiếp 01 bộ hồ sơ đề nghị cấp giấy phép hoạt động xây dựng cho Trung tâm phục vụ hành chính công tỉnh hoặc Bộ phận tiếp nhận và trả kết quả giải quyết TTHC của Sở Xây dựng.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 Nhà thầu nước ngoài nộp qua dịch vụ bưu chính 01 bộ hồ sơ đề nghị cấp giấy phép hoạt động xây dựng cho Trung tâm phục vụ hành chính công tỉnh hoặc Bộ phận tiếp nhận và trả kết quả giải quyết TTHC của Sở Xây dựng.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 Nhà thầu nước ngoài nộp trực tuyến 01 bộ hồ sơ đề nghị cấp giấy phép hoạt động xây dựng cho Trung tâm phục vụ hành chính công tỉnh hoặc Bộ phận tiếp nhận và trả kết quả giải quyết TTHC của Sở Xây dựng.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hoạt động xây dựng theo Mẫu số 01 (đối với tổ chức) hoặc Mẫu số 04 (đối với cá nhân) Phụ lục số III Nghị định số 15/2021/NĐ-CP. Đơn phải làm bằng tiếng Việt.</w:t>
            </w:r>
          </w:p>
        </w:tc>
        <w:tc>
          <w:p/>
          <w:p>
            <w:pPr>
              <w:spacing w:after="0" w:before="0" w:lineRule="auto" w:line="276"/>
              <w:jc w:val="left"/>
            </w:pPr>
            <w:r>
              <w:rPr>
                <w:rFonts w:ascii="Times New Roman" w:hAnsi="Times New Roman" w:cs="Times New Roman" w:eastAsia="Times New Roman"/>
                <w:b w:val="false"/>
                <w:sz w:val="26"/>
              </w:rPr>
              <w:t>Cap giay phep HĐXD doi voi nha thau la ca nhan.docx</w:t>
            </w:r>
          </w:p>
          <w:p>
            <w:pPr>
              <w:spacing w:after="0" w:before="0" w:lineRule="auto" w:line="276"/>
              <w:jc w:val="left"/>
            </w:pPr>
            <w:r>
              <w:rPr>
                <w:rFonts w:ascii="Times New Roman" w:hAnsi="Times New Roman" w:cs="Times New Roman" w:eastAsia="Times New Roman"/>
                <w:b w:val="false"/>
                <w:sz w:val="26"/>
              </w:rPr>
              <w:t>Cap Giay phep HDXD doi voi nha thau la Tổ chuc.docx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điện tử về kết quả đấu thầu hoặc quyết định chọn thầu hợp pháp (nếu bằng tiếng nước ngoài phải được dịch ra tiếng Việt và được công chứng,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điện tử giấy phép thành lập hoặc Giấy chứng nhận đăng ký kinh doanh đối với tổ chức và chứng chỉ hành nghề (nếu có) của nước nơi mà nhà thầu nước ngoài mang quốc tịch cấp và phải được hợp pháp hóa lãnh sự, trừ trường hợp Điều ước quốc tế mà Việt Nam và các nước có liên quan là thành viên có quy định về miễn trừ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Chứng chỉ hành nghề (nếu có) của nước mà nhà thầu mang quốc tịch cấp, được dịch ra tiếng Việt, bản dịch được công chứng,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Biểu báo cáo kinh nghiệm hoạt động liên quan đến các công việc nhận thầu theo Mẫu số 02 Phụ lục III Nghị định số 15/2021/NĐ-CP và bản sao có chứng thực hoặc bản sao điện tử báo cáo tổng hợp kiểm toán tài chính trong 03 năm gần nhất (đối với trường hợp không thực hiện theo quy định của pháp luật về đấu thầu).</w:t>
            </w:r>
          </w:p>
        </w:tc>
        <w:tc>
          <w:p/>
          <w:p>
            <w:pPr>
              <w:spacing w:after="0" w:before="0" w:lineRule="auto" w:line="276"/>
              <w:jc w:val="left"/>
            </w:pPr>
            <w:r>
              <w:rPr>
                <w:rFonts w:ascii="Times New Roman" w:hAnsi="Times New Roman" w:cs="Times New Roman" w:eastAsia="Times New Roman"/>
                <w:b w:val="false"/>
                <w:sz w:val="26"/>
              </w:rPr>
              <w:t>Bao cao kinh nghiem lien quan den cac cong viec nhan thau.docx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điện tử Hợp đồng liên danh với nhà thầu Việt Nam hoặc hợp đồng chính thức hoặc hợp đồng nguyên tắc với nhà thầu phụ Việt Nam để thực hiện công việc nhận thầu (đã có trong hồ sơ dự thầu hoặc hồ sơ chào thầu) nếu bằng tiếng nước ngoài phải được dịch ra tiếng Việt và được công chứng,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ủy quyền hợp pháp đối với người không phải là người đại diện theo pháp luật của nhà thầu nếu bằng tiếng nước ngoài phải được dịch ra tiếng Việt và được công chứng, chứng thực theo quy định của pháp luật Việt Nam.</w:t>
            </w:r>
          </w:p>
        </w:tc>
        <w:tc>
          <w:p/>
          <w:p>
            <w:pPr>
              <w:spacing w:after="0" w:before="0" w:lineRule="auto" w:line="276"/>
              <w:jc w:val="left"/>
            </w:pPr>
            <w:r>
              <w:rPr>
                <w:rFonts w:ascii="Times New Roman" w:hAnsi="Times New Roman" w:cs="Times New Roman" w:eastAsia="Times New Roman"/>
                <w:b w:val="false"/>
                <w:sz w:val="26"/>
              </w:rPr>
              <w:t>Giay uy quyen.docx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điện tử quyết định phê duyệt dự án hoặc quyết định đầu tư hoặc giấy chứng nhận đầu tư của dự án/công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hoặc Bộ phận tiếp nhận và trả kết quả giải quyết TTHC của Sở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phép hoạt động xây dựng cho nhà thầu nước ngoài, Quyết định cấp Giấy phép hoạt động xây dựng cho nhà thầu nước ngoài theo Mẫu số 05 Phụ lục III Nghị định số 15/2021/NĐ-CP và Quyết định cấp Giấy phép hoạt động xây dựng cho cá nhân nước ngoài theo Mẫu số 06 Phụ lục III Nghị định số 15/2021/NĐ-CP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50/2014/QH13 </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15/2021/NĐ-CP</w:t>
            </w:r>
          </w:p>
        </w:tc>
        <w:tc>
          <w:p/>
          <w:p>
            <w:pPr>
              <w:spacing w:after="0" w:before="0" w:lineRule="auto" w:line="276"/>
              <w:jc w:val="left"/>
            </w:pPr>
            <w:r>
              <w:rPr>
                <w:rFonts w:ascii="Times New Roman" w:hAnsi="Times New Roman" w:cs="Times New Roman" w:eastAsia="Times New Roman"/>
                <w:b w:val="false"/>
                <w:sz w:val="26"/>
              </w:rPr>
              <w:t>Nghị định 15/2021/NĐ-CP</w:t>
            </w:r>
          </w:p>
        </w:tc>
        <w:tc>
          <w:p/>
          <w:p>
            <w:pPr>
              <w:spacing w:after="0" w:before="0" w:lineRule="auto" w:line="276"/>
              <w:jc w:val="left"/>
            </w:pPr>
            <w:r>
              <w:rPr>
                <w:rFonts w:ascii="Times New Roman" w:hAnsi="Times New Roman" w:cs="Times New Roman" w:eastAsia="Times New Roman"/>
                <w:b w:val="false"/>
                <w:sz w:val="26"/>
              </w:rPr>
              <w:t>03-03-2021</w:t>
            </w:r>
          </w:p>
        </w:tc>
        <w:tc>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số 35/2023/NĐ-CP ngày 20/6/2023 của Chính phủ 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Nhà thầu nước ngoài được cấp giấy phép hoạt động xây dựng khi có quyết định trúng thầu hoặc được chọn thầu của chủ đầu tư/nhà thầu chính (phụ).
- Nhà thầu nước ngoài phải liên danh với nhà thầu Việt Nam hoặc sử dụng nhà thầu phụ Việt Nam, trừ trường hợp nhà thầu trong nước không đủ năng lực tham gia vào bất kỳ công việc nào của gói thầu. Khi liên danh hoặc sử dụng nhà thầu Việt Nam phải phân định rõ nội dung, khối lượng và giá trị phần công việc do nhà thầu Việt Nam trong liên danh; nhà thầu phụ Việt Nam thực hiện.
- Nhà thầu nước ngoài phải cam kết thực hiện đầy đủ các quy định của pháp luật Việt Nam có liên quan đến hoạt động nhận thầu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2026-05-26T19:41:52Z</dcterms:created>
  <dc:creator>Apache POI</dc:creator>
</cp:coreProperties>
</file>