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1.012003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1674/QĐ-BNNMT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tổ chức giám định quyền đối với giống cây trồng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nộp hồ sơ đến Ủy ban nhân dân tỉnh, thành phố trực thuộc trung ương.
Bước 2: Thẩm định hồ sơ và trả kết quả:
Trong thời hạn 13 ngày làm việc kể từ ngày nhận hồ sơ, Ủy ban nhân dân tỉnh, thành phố trực thuộc trung ương xem xét hồ sơ theo quy định sau đây:
- Trường hợp hồ sơ hợp lệ, Ủy ban nhân dân tỉnh, thành phố trực thuộc trung ương ra quyết định cấp Giấy chứng nhận tổ chức giám định, trong đó ghi rõ tên đầy đủ, tên giao dịch, địa chỉ của tổ chức, Danh sách giám định viên quyền đối với giống cây trồng là thành viên của tổ chức; ghi nhận vào Danh sách tổ chức giám định và công bố trên Cổng thông tin điện tử của Ủy ban nhân dân tỉnh, thành phố trực thuộc trung ương trong thời hạn 05 ngày làm việc kể từ ngày ra quyết định;
- Trường hợp hồ sơ có thiếu sót, Ủy ban nhân dân tỉnh, thành phố trực thuộc trung ương ra thông báo dự định từ chối chấp nhận hồ sơ, trong đó nêu rõ lý do và ấn định thời hạn 01 tháng kể từ ngày ra thông báo để tổ chức nộp hồ sơ sửa chữa thiếu sót hoặc có ý kiến phản đối. Khi hết thời hạn đã ấn định mà tổ chức nộp hồ sơ không sửa chữa thiếu sót hoặc sửa chữa thiếu sót không đạt yêu cầu, không có ý kiến phản đối hoặc có ý kiến phản đối nhưng không xác đáng thì Ủy ban nhân dân tỉnh, thành phố trực thuộc trung ương ra quyết định từ chối cấp Giấy chứng nhận tổ chức giám định quyền đối với giống cây trồng, trong đó nêu rõ lý do từ chối
Bước 3: Công bố Danh sách tổ chức giám định quyền đối với giống cây trồng
Ủy ban nhân dân tỉnh, thành phố trực thuộc trung ương lập Danh sách tổ chức giám định quyền đối với giống cây trồng theo các quyết định cấp Giấy chứng nhận tổ chức giám định quyền đối với giống cây trồng. Danh sách tổ chức giám định quyền đối với giống cây trồng được công bố trên Cổng thông tin điện tử của Ủy ban nhân dân tỉnh, thành phố trực thuộc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Quyết định cấp Giấy chứng nhận tổ chức giám định quyền đối với giống cây trồng: 13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yêu cầu cấp Giấy chứng nhận tổ chức giám định quyền đối với giống cây trồng theo Mẫu số 28 Phụ lục I Nghị định số 100/2026/NĐ-CP</w:t>
            </w:r>
          </w:p>
        </w:tc>
        <w:tc>
          <w:p/>
          <w:p>
            <w:pPr>
              <w:spacing w:after="0" w:before="0" w:lineRule="auto" w:line="276"/>
              <w:jc w:val="left"/>
            </w:pPr>
            <w:r>
              <w:rPr>
                <w:rFonts w:ascii="Times New Roman" w:hAnsi="Times New Roman" w:cs="Times New Roman" w:eastAsia="Times New Roman"/>
                <w:b w:val="false"/>
                <w:sz w:val="26"/>
              </w:rPr>
              <w:t>Mus28.docx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thực Quyết định tuyển dụng hoặc hợp đồng lao động giữa tổ chức và giám định viên sở hữu công nghiệp hoạt động cho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từ chối cấp Giấy chứng nhận tổ chức giám định quyền đối với giống cây trồng., Giấy chứng nhận tổ chức giám định quyền đối với giống cây trồng theo Mẫu số 37 Phụ lục I Nghị định số 100/2026/NĐ-CP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65/2023/NĐ-CP</w:t>
            </w:r>
          </w:p>
        </w:tc>
        <w:tc>
          <w:p/>
          <w:p>
            <w:pPr>
              <w:spacing w:after="0" w:before="0" w:lineRule="auto" w:line="276"/>
              <w:jc w:val="left"/>
            </w:pPr>
            <w:r>
              <w:rPr>
                <w:rFonts w:ascii="Times New Roman" w:hAnsi="Times New Roman" w:cs="Times New Roman" w:eastAsia="Times New Roman"/>
                <w:b w:val="false"/>
                <w:sz w:val="26"/>
              </w:rPr>
              <w:t>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p>
        </w:tc>
        <w:tc>
          <w:p/>
          <w:p>
            <w:pPr>
              <w:spacing w:after="0" w:before="0" w:lineRule="auto" w:line="276"/>
              <w:jc w:val="left"/>
            </w:pPr>
            <w:r>
              <w:rPr>
                <w:rFonts w:ascii="Times New Roman" w:hAnsi="Times New Roman" w:cs="Times New Roman" w:eastAsia="Times New Roman"/>
                <w:b w:val="false"/>
                <w:sz w:val="26"/>
              </w:rPr>
              <w:t>23-08-2023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Doanh nghiệp, hợp tác xã, đơn vị sự nghiệp, tổ chức hành nghề luật sư được thành lập và hoạt động theo quy định của pháp luật có ít nhất một cá nhân có Thẻ giám định viên sở hữu trí tuệ được thực hiện hoạt động giám định về sở hữu trí tuệ.</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2026-05-24T16:12:42Z</dcterms:created>
  <dc:creator>Apache POI</dc:creator>
</cp:coreProperties>
</file>