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1.012135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2113/QĐ-BKHCN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khiếu nại liên quan đến sở hữu công nghiệp -</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Tiếp nhận đơn 
Tổ chức, cá nhân nộp 01 bộ hồ sơ yêu cầu giải quyết khiếu nại liên quan đến các thủ tục về sở hữu công nghiệp đến người có thẩm quyền giải quyết khiếu nại (là Cục trưởng Cục Sở hữu trí tuệ nếu là khiếu nại lần đầu) hoặc (là Bộ trưởng Bộ Khoa học và Công nghệ nếu là khiếu nại lần hai).
- Bước 2: Thụ lý đơn khiếu nại 
Việc thụ lý giải quyết đơn khiếu nại được thực hiện theo quy định tại Điều 27 của Luật Khiếu nại và khoản 1 Điều 119a của Luật Sở hữu trí tuệ. Cụ thể, trong thời hạn 10 ngày kể từ ngày nhận đơn khiếu nại, người giải quyết khiếu nại phải:
+ Ra thông báo không thụ lý giải quyết khiếu nại nếu đơn thuộc một trong các trường hợp không được thụ lý giải quyết khiếu nại theo quy định, trong đó nêu rõ lý do từ chối; hoặc
+ Ra thông báo thụ lý giải quyết khiếu nại nếu đơn không thuộc các trường hợp không được thụ lý giải quyết khiếu nại theo quy định, trong đó ghi nhận ngày thụ lý đơn và xác định phí tra cứu và/hoặc phí thẩm định đối với trường hợp phải thẩm định lại để phục vụ việc giải quyết khiếu nại tương ứng với nội dung khiếu nại (nếu có) và ấn định thời hạn 01 tháng để người khiếu nại nộp phí.
+ Nếu người khiếu nại không nộp phí thẩm định đối với trường hợp phải thẩm định lại để phục vụ việc giải quyết khiếu nại theo thông báo thụ lý giải quyết khiếu nại nêu trên, đơn khiếu nại được giải quyết trên cơ sở các tài liệu có trong hồ sơ. 
- Bước 3: Giải quyết khiếu nại
+ Người giải quyết khiếu nại thông báo bằng văn bản về nội dung khiếu nại cho bên liên quan và ấn định thời hạn 01 tháng kể từ ngày ra thông báo để người đó có ý kiến (nếu có);
+ Bên liên quan có quyền cung cấp thông tin, chứng cứ chứng minh cho lý lẽ của mình trong thời hạn nêu trên, người giải quyết khiếu nại có trách nhiệm xem xét các thông tin, chứng cứ đó khi giải quyết khiếu nại;
+ Người giải quyết khiếu nại thông báo bằng văn bản về nội dung ý kiến của bên liên quan và ấn định thời hạn 02 tháng kể từ ngày ra thông báo để người khiếu nại có ý kiến phản hồi ý kiến của bên liên quan;
+ Nếu kết thúc thời hạn ấn định mà một bên không có ý kiến thì đơn khiếu nại sẽ được giải quyết trên cơ sở các tài liệu có trong đơn, bao gồm cả tài liệu thể hiện ý kiến của bên kia.
+ Căn cứ vào kết quả xem xét lại quyết định, thông báo bị khiếu nại, người giải quyết khiếu nại ra quyết định giải quyết khiếu nại, trong đó phải có các nội dung quy định tại khoản 2 Điều 31 của Luật Khiếu nại.
- Bước 4: Công bố quyết định: 
Quyết định giải quyết khiếu nại được công bố trên Cổng thông tin điện tử của cơ quan giải quyết khiếu nại trong thời hạn 15 ngày và trên Công báo sở hữu công nghiệp trong thời hạn 02 tháng kể từ ngày ký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100 Ngày</w:t>
            </w:r>
          </w:p>
        </w:tc>
        <w:tc>
          <w:p/>
          <w:p>
            <w:pPr>
              <w:spacing w:after="0" w:before="0" w:lineRule="auto" w:line="276"/>
              <w:jc w:val="left"/>
            </w:pPr>
            <w:r>
              <w:rPr>
                <w:rFonts w:ascii="Times New Roman" w:hAnsi="Times New Roman" w:cs="Times New Roman" w:eastAsia="Times New Roman"/>
                <w:b w:val="false"/>
                <w:sz w:val="26"/>
              </w:rPr>
              <w:t>Phí : 700.000 Đồng</w:t>
              <w:t xml:space="preserve"> (Phí thẩm định để giải quyết khiếu nại các đối tượng sở hữu công nghiệp: Kiểu dáng công nghiệp (mỗi phương án của từng sản phẩm);)</w:t>
            </w:r>
          </w:p>
          <w:p>
            <w:pPr>
              <w:spacing w:after="0" w:before="0" w:lineRule="auto" w:line="276"/>
              <w:jc w:val="left"/>
            </w:pPr>
            <w:r>
              <w:rPr>
                <w:rFonts w:ascii="Times New Roman" w:hAnsi="Times New Roman" w:cs="Times New Roman" w:eastAsia="Times New Roman"/>
                <w:b w:val="false"/>
                <w:sz w:val="26"/>
              </w:rPr>
              <w:t>Phí : 480.000 Đồng</w:t>
              <w:t xml:space="preserve"> (Phí tra cứu thông tin nhằm phục vụ việc thẩm định giải quyết khiếu nại và các công việc khác trong phạm vi trách nhiệm: Kiểu dáng công nghiệp (cho mỗi phương án của từng sản phẩm))</w:t>
            </w:r>
          </w:p>
          <w:p>
            <w:pPr>
              <w:spacing w:after="0" w:before="0" w:lineRule="auto" w:line="276"/>
              <w:jc w:val="left"/>
            </w:pPr>
            <w:r>
              <w:rPr>
                <w:rFonts w:ascii="Times New Roman" w:hAnsi="Times New Roman" w:cs="Times New Roman" w:eastAsia="Times New Roman"/>
                <w:b w:val="false"/>
                <w:sz w:val="26"/>
              </w:rPr>
              <w:t>Phí : 550.000 Đồng</w:t>
              <w:t xml:space="preserve"> (Phí thẩm định để giải quyết khiếu nại các đối tượng sở hữu công nghiệp: Nhãn hiệu (mỗi nhóm có đến 6 sản phẩm/dịch vụ) nếu đơn nhãn hiệu có trên 6 sản phẩm/dịch vụ trong một nhóm, phải nộp thêm cho mỗi sản phẩm/dịch vụ từ thứ 7 trở đi: 120.000 đồng;)</w:t>
            </w:r>
          </w:p>
          <w:p>
            <w:pPr>
              <w:spacing w:after="0" w:before="0" w:lineRule="auto" w:line="276"/>
              <w:jc w:val="left"/>
            </w:pPr>
            <w:r>
              <w:rPr>
                <w:rFonts w:ascii="Times New Roman" w:hAnsi="Times New Roman" w:cs="Times New Roman" w:eastAsia="Times New Roman"/>
                <w:b w:val="false"/>
                <w:sz w:val="26"/>
              </w:rPr>
              <w:t>Phí : 600.000 Đồng</w:t>
              <w:t xml:space="preserve"> (Phí tra cứu thông tin nhằm phục vụ việc thẩm định giải quyết khiếu nại và các công việc khác trong phạm vi trách nhiệm: Sáng chế (bao gồm cả giải pháp hữu ích) (mỗi điểm độc lập của yêu cầu bảo hộ);)</w:t>
            </w:r>
          </w:p>
          <w:p>
            <w:pPr>
              <w:spacing w:after="0" w:before="0" w:lineRule="auto" w:line="276"/>
              <w:jc w:val="left"/>
            </w:pPr>
            <w:r>
              <w:rPr>
                <w:rFonts w:ascii="Times New Roman" w:hAnsi="Times New Roman" w:cs="Times New Roman" w:eastAsia="Times New Roman"/>
                <w:b w:val="false"/>
                <w:sz w:val="26"/>
              </w:rPr>
              <w:t>Phí : 180.000 Đồng</w:t>
              <w:t xml:space="preserve"> (Phí tra cứu thông tin nhằm phục vụ việc thẩm định giải quyết khiếu nại và các công việc khác trong phạm vi trách nhiệm: Chỉ dẫn địa lý (bao gồm cả tên gọi xuất xứ hàng hoá) (cho mỗi đơn))</w:t>
            </w:r>
          </w:p>
          <w:p>
            <w:pPr>
              <w:spacing w:after="0" w:before="0" w:lineRule="auto" w:line="276"/>
              <w:jc w:val="left"/>
            </w:pPr>
            <w:r>
              <w:rPr>
                <w:rFonts w:ascii="Times New Roman" w:hAnsi="Times New Roman" w:cs="Times New Roman" w:eastAsia="Times New Roman"/>
                <w:b w:val="false"/>
                <w:sz w:val="26"/>
              </w:rPr>
              <w:t>Phí : 180.000 Đồng</w:t>
              <w:t xml:space="preserve"> (Phí thẩm định để giải quyết khiếu nại các đối tượng sở hữu công nghiệp: Thiết kế bố trí mạch tích hợp (mỗi đơn))</w:t>
            </w:r>
          </w:p>
          <w:p>
            <w:pPr>
              <w:spacing w:after="0" w:before="0" w:lineRule="auto" w:line="276"/>
              <w:jc w:val="left"/>
            </w:pPr>
            <w:r>
              <w:rPr>
                <w:rFonts w:ascii="Times New Roman" w:hAnsi="Times New Roman" w:cs="Times New Roman" w:eastAsia="Times New Roman"/>
                <w:b w:val="false"/>
                <w:sz w:val="26"/>
              </w:rPr>
              <w:t>Phí : 180.000 Đồng</w:t>
              <w:t xml:space="preserve"> (Phí tra cứu thông tin nhằm phục vụ việc thẩm định giải quyết khiếu nại và các công việc khác trong phạm vi trách nhiệm: Nhãn hiệu: 180.000 đồng (cho mỗi nhóm có đến 6 sản phẩm/dịch vụ), nếu đối tượng tra cứu là nhãn hiệu có trên 6 sản phẩm/dịch vụ trong một nhóm, phải nộp thêm cho mỗi sản phẩm/dịch vụ từ thứ 7 trở đi: 30.000 đồng;)</w:t>
            </w:r>
          </w:p>
          <w:p>
            <w:pPr>
              <w:spacing w:after="0" w:before="0" w:lineRule="auto" w:line="276"/>
              <w:jc w:val="left"/>
            </w:pPr>
            <w:r>
              <w:rPr>
                <w:rFonts w:ascii="Times New Roman" w:hAnsi="Times New Roman" w:cs="Times New Roman" w:eastAsia="Times New Roman"/>
                <w:b w:val="false"/>
                <w:sz w:val="26"/>
              </w:rPr>
              <w:t>Phí : 900.000 Đồng</w:t>
              <w:t xml:space="preserve"> (Phí thẩm định để giải quyết khiếu nại các đối tượng sở hữu công nghiệp: Sáng chế (bao gồm cả giải pháp hữu ích): 900.000 đồng (mỗi điểm yêu cầu bảo hộ độc lập);)</w:t>
            </w:r>
          </w:p>
          <w:p>
            <w:pPr>
              <w:spacing w:after="0" w:before="0" w:lineRule="auto" w:line="276"/>
              <w:jc w:val="left"/>
            </w:pPr>
            <w:r>
              <w:rPr>
                <w:rFonts w:ascii="Times New Roman" w:hAnsi="Times New Roman" w:cs="Times New Roman" w:eastAsia="Times New Roman"/>
                <w:b w:val="false"/>
                <w:sz w:val="26"/>
              </w:rPr>
              <w:t>Phí : 1.200.000 Đồng</w:t>
              <w:t xml:space="preserve"> (Phí thẩm định để giải quyết khiếu nại các đối tượng sở hữu công nghiệp: Chỉ dẫn địa lý (bao gồm cả tên gọi xuất xứ hàng hoá) (mỗi đơn))</w:t>
            </w:r>
          </w:p>
        </w:tc>
        <w:tc>
          <w:p/>
          <w:p>
            <w:pPr>
              <w:spacing w:after="0" w:before="0" w:lineRule="auto" w:line="276"/>
              <w:jc w:val="left"/>
            </w:pPr>
            <w:r>
              <w:rPr>
                <w:rFonts w:ascii="Times New Roman" w:hAnsi="Times New Roman" w:cs="Times New Roman" w:eastAsia="Times New Roman"/>
                <w:b w:val="false"/>
                <w:sz w:val="26"/>
              </w:rPr>
              <w:t>- 10 ngày để ra thông báo thụ lý hoặc không thụ lý hồ sơ kể từ ngày tiếp nhận hồ sơ;
- 01 tháng kể từ ngày ra thông báo để người có quyền, lợi ích liên quan trực tiếp có ý kiến;
- 30 ngày kể từ ngày thụ lý; đối với vụ việc phức tạp thì thời hạn này là 45 ngày (đối với khiếu nại lần thứ nhất);
- 45 ngày kể từ ngày thụ lý; đối với vụ việc phức tạp thì thời hạn này là 60 ngày (đối với khiếu nại lần thứ hai).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100 Ngày</w:t>
            </w:r>
          </w:p>
        </w:tc>
        <w:tc>
          <w:p/>
          <w:p>
            <w:pPr>
              <w:spacing w:after="0" w:before="0" w:lineRule="auto" w:line="276"/>
              <w:jc w:val="left"/>
            </w:pPr>
            <w:r>
              <w:rPr>
                <w:rFonts w:ascii="Times New Roman" w:hAnsi="Times New Roman" w:cs="Times New Roman" w:eastAsia="Times New Roman"/>
                <w:b w:val="false"/>
                <w:sz w:val="26"/>
              </w:rPr>
              <w:t>Phí : 180.000 Đồng</w:t>
              <w:t xml:space="preserve"> (Phí tra cứu thông tin nhằm phục vụ việc thẩm định giải quyết khiếu nại và các công việc khác trong phạm vi trách nhiệm: Chỉ dẫn địa lý (bao gồm cả tên gọi xuất xứ hàng hoá) (cho mỗi đơn))</w:t>
            </w:r>
          </w:p>
          <w:p>
            <w:pPr>
              <w:spacing w:after="0" w:before="0" w:lineRule="auto" w:line="276"/>
              <w:jc w:val="left"/>
            </w:pPr>
            <w:r>
              <w:rPr>
                <w:rFonts w:ascii="Times New Roman" w:hAnsi="Times New Roman" w:cs="Times New Roman" w:eastAsia="Times New Roman"/>
                <w:b w:val="false"/>
                <w:sz w:val="26"/>
              </w:rPr>
              <w:t>Phí : 180.000 Đồng</w:t>
              <w:t xml:space="preserve"> (Phí tra cứu thông tin nhằm phục vụ việc thẩm định giải quyết khiếu nại và các công việc khác trong phạm vi trách nhiệm: Nhãn hiệu: 180.000 đồng (cho mỗi nhóm có đến 6 sản phẩm/dịch vụ), nếu đối tượng tra cứu là nhãn hiệu có trên 6 sản phẩm/dịch vụ trong một nhóm, phải nộp thêm cho mỗi sản phẩm/dịch vụ từ thứ 7 trở đi: 30.000 đồng;)</w:t>
            </w:r>
          </w:p>
          <w:p>
            <w:pPr>
              <w:spacing w:after="0" w:before="0" w:lineRule="auto" w:line="276"/>
              <w:jc w:val="left"/>
            </w:pPr>
            <w:r>
              <w:rPr>
                <w:rFonts w:ascii="Times New Roman" w:hAnsi="Times New Roman" w:cs="Times New Roman" w:eastAsia="Times New Roman"/>
                <w:b w:val="false"/>
                <w:sz w:val="26"/>
              </w:rPr>
              <w:t>Phí : 180.000 Đồng</w:t>
              <w:t xml:space="preserve"> (Phí thẩm định để giải quyết khiếu nại các đối tượng sở hữu công nghiệp: Thiết kế bố trí mạch tích hợp (mỗi đơn))</w:t>
            </w:r>
          </w:p>
          <w:p>
            <w:pPr>
              <w:spacing w:after="0" w:before="0" w:lineRule="auto" w:line="276"/>
              <w:jc w:val="left"/>
            </w:pPr>
            <w:r>
              <w:rPr>
                <w:rFonts w:ascii="Times New Roman" w:hAnsi="Times New Roman" w:cs="Times New Roman" w:eastAsia="Times New Roman"/>
                <w:b w:val="false"/>
                <w:sz w:val="26"/>
              </w:rPr>
              <w:t>Phí : 480.000 Đồng</w:t>
              <w:t xml:space="preserve"> (Phí tra cứu thông tin nhằm phục vụ việc thẩm định giải quyết khiếu nại và các công việc khác trong phạm vi trách nhiệm: Kiểu dáng công nghiệp (cho mỗi phương án của từng sản phẩm))</w:t>
            </w:r>
          </w:p>
          <w:p>
            <w:pPr>
              <w:spacing w:after="0" w:before="0" w:lineRule="auto" w:line="276"/>
              <w:jc w:val="left"/>
            </w:pPr>
            <w:r>
              <w:rPr>
                <w:rFonts w:ascii="Times New Roman" w:hAnsi="Times New Roman" w:cs="Times New Roman" w:eastAsia="Times New Roman"/>
                <w:b w:val="false"/>
                <w:sz w:val="26"/>
              </w:rPr>
              <w:t>Phí : 550.000 Đồng</w:t>
              <w:t xml:space="preserve"> (Phí thẩm định để giải quyết khiếu nại các đối tượng sở hữu công nghiệp: Nhãn hiệu (mỗi nhóm có đến 6 sản phẩm/dịch vụ) nếu đơn nhãn hiệu có trên 6 sản phẩm/dịch vụ trong một nhóm, phải nộp thêm cho mỗi sản phẩm/dịch vụ từ thứ 7 trở đi: 120.000 đồng;)</w:t>
            </w:r>
          </w:p>
          <w:p>
            <w:pPr>
              <w:spacing w:after="0" w:before="0" w:lineRule="auto" w:line="276"/>
              <w:jc w:val="left"/>
            </w:pPr>
            <w:r>
              <w:rPr>
                <w:rFonts w:ascii="Times New Roman" w:hAnsi="Times New Roman" w:cs="Times New Roman" w:eastAsia="Times New Roman"/>
                <w:b w:val="false"/>
                <w:sz w:val="26"/>
              </w:rPr>
              <w:t>Phí : 700.000 Đồng</w:t>
              <w:t xml:space="preserve"> (Phí thẩm định để giải quyết khiếu nại các đối tượng sở hữu công nghiệp: Kiểu dáng công nghiệp (mỗi phương án của từng sản phẩm);)</w:t>
            </w:r>
          </w:p>
          <w:p>
            <w:pPr>
              <w:spacing w:after="0" w:before="0" w:lineRule="auto" w:line="276"/>
              <w:jc w:val="left"/>
            </w:pPr>
            <w:r>
              <w:rPr>
                <w:rFonts w:ascii="Times New Roman" w:hAnsi="Times New Roman" w:cs="Times New Roman" w:eastAsia="Times New Roman"/>
                <w:b w:val="false"/>
                <w:sz w:val="26"/>
              </w:rPr>
              <w:t>Phí : 600.000 Đồng</w:t>
              <w:t xml:space="preserve"> (Phí tra cứu thông tin nhằm phục vụ việc thẩm định giải quyết khiếu nại và các công việc khác trong phạm vi trách nhiệm: Sáng chế (bao gồm cả giải pháp hữu ích) (mỗi điểm độc lập của yêu cầu bảo hộ);)</w:t>
            </w:r>
          </w:p>
          <w:p>
            <w:pPr>
              <w:spacing w:after="0" w:before="0" w:lineRule="auto" w:line="276"/>
              <w:jc w:val="left"/>
            </w:pPr>
            <w:r>
              <w:rPr>
                <w:rFonts w:ascii="Times New Roman" w:hAnsi="Times New Roman" w:cs="Times New Roman" w:eastAsia="Times New Roman"/>
                <w:b w:val="false"/>
                <w:sz w:val="26"/>
              </w:rPr>
              <w:t>Phí : 900.000 Đồng</w:t>
              <w:t xml:space="preserve"> (Phí thẩm định để giải quyết khiếu nại các đối tượng sở hữu công nghiệp: Sáng chế (bao gồm cả giải pháp hữu ích): 900.000 đồng (mỗi điểm yêu cầu bảo hộ độc lập);)</w:t>
            </w:r>
          </w:p>
          <w:p>
            <w:pPr>
              <w:spacing w:after="0" w:before="0" w:lineRule="auto" w:line="276"/>
              <w:jc w:val="left"/>
            </w:pPr>
            <w:r>
              <w:rPr>
                <w:rFonts w:ascii="Times New Roman" w:hAnsi="Times New Roman" w:cs="Times New Roman" w:eastAsia="Times New Roman"/>
                <w:b w:val="false"/>
                <w:sz w:val="26"/>
              </w:rPr>
              <w:t>Phí : 1.200.000 Đồng</w:t>
              <w:t xml:space="preserve"> (Phí thẩm định để giải quyết khiếu nại các đối tượng sở hữu công nghiệp: Chỉ dẫn địa lý (bao gồm cả tên gọi xuất xứ hàng hoá) (mỗi đơn))</w:t>
            </w:r>
          </w:p>
        </w:tc>
        <w:tc>
          <w:p/>
          <w:p>
            <w:pPr>
              <w:spacing w:after="0" w:before="0" w:lineRule="auto" w:line="276"/>
              <w:jc w:val="left"/>
            </w:pPr>
            <w:r>
              <w:rPr>
                <w:rFonts w:ascii="Times New Roman" w:hAnsi="Times New Roman" w:cs="Times New Roman" w:eastAsia="Times New Roman"/>
                <w:b w:val="false"/>
                <w:sz w:val="26"/>
              </w:rPr>
              <w:t>- 10 ngày để ra thông báo thụ lý hoặc không thụ lý hồ sơ kể từ ngày tiếp nhận hồ sơ;
- 01 tháng kể từ ngày ra thông báo để người có quyền, lợi ích liên quan trực tiếp có ý kiến;
- 30 ngày kể từ ngày thụ lý; đối với vụ việc phức tạp thì thời hạn này là 45 ngày (đối với khiếu nại lần thứ nhất);
- 45 ngày kể từ ngày thụ lý; đối với vụ việc phức tạp thì thời hạn này là 60 ngày (đối với khiếu nại lần thứ hai).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100 Ngày</w:t>
            </w:r>
          </w:p>
        </w:tc>
        <w:tc>
          <w:p/>
          <w:p>
            <w:pPr>
              <w:spacing w:after="0" w:before="0" w:lineRule="auto" w:line="276"/>
              <w:jc w:val="left"/>
            </w:pPr>
            <w:r>
              <w:rPr>
                <w:rFonts w:ascii="Times New Roman" w:hAnsi="Times New Roman" w:cs="Times New Roman" w:eastAsia="Times New Roman"/>
                <w:b w:val="false"/>
                <w:sz w:val="26"/>
              </w:rPr>
              <w:t>Phí : 180.000 Đồng</w:t>
              <w:t xml:space="preserve"> (Phí tra cứu thông tin nhằm phục vụ việc thẩm định giải quyết khiếu nại và các công việc khác trong phạm vi trách nhiệm: Nhãn hiệu: 180.000 đồng (cho mỗi nhóm có đến 6 sản phẩm/dịch vụ), nếu đối tượng tra cứu là nhãn hiệu có trên 6 sản phẩm/dịch vụ trong một nhóm, phải nộp thêm cho mỗi sản phẩm/dịch vụ từ thứ 7 trở đi: 30.000 đồng;)</w:t>
            </w:r>
          </w:p>
          <w:p>
            <w:pPr>
              <w:spacing w:after="0" w:before="0" w:lineRule="auto" w:line="276"/>
              <w:jc w:val="left"/>
            </w:pPr>
            <w:r>
              <w:rPr>
                <w:rFonts w:ascii="Times New Roman" w:hAnsi="Times New Roman" w:cs="Times New Roman" w:eastAsia="Times New Roman"/>
                <w:b w:val="false"/>
                <w:sz w:val="26"/>
              </w:rPr>
              <w:t>Phí : 180.000 Đồng</w:t>
              <w:t xml:space="preserve"> (Phí tra cứu thông tin nhằm phục vụ việc thẩm định giải quyết khiếu nại và các công việc khác trong phạm vi trách nhiệm: Chỉ dẫn địa lý (bao gồm cả tên gọi xuất xứ hàng hoá) (cho mỗi đơn))</w:t>
            </w:r>
          </w:p>
          <w:p>
            <w:pPr>
              <w:spacing w:after="0" w:before="0" w:lineRule="auto" w:line="276"/>
              <w:jc w:val="left"/>
            </w:pPr>
            <w:r>
              <w:rPr>
                <w:rFonts w:ascii="Times New Roman" w:hAnsi="Times New Roman" w:cs="Times New Roman" w:eastAsia="Times New Roman"/>
                <w:b w:val="false"/>
                <w:sz w:val="26"/>
              </w:rPr>
              <w:t>Phí : 180.000 Đồng</w:t>
              <w:t xml:space="preserve"> (Phí thẩm định để giải quyết khiếu nại các đối tượng sở hữu công nghiệp: Thiết kế bố trí mạch tích hợp (mỗi đơn))</w:t>
            </w:r>
          </w:p>
          <w:p>
            <w:pPr>
              <w:spacing w:after="0" w:before="0" w:lineRule="auto" w:line="276"/>
              <w:jc w:val="left"/>
            </w:pPr>
            <w:r>
              <w:rPr>
                <w:rFonts w:ascii="Times New Roman" w:hAnsi="Times New Roman" w:cs="Times New Roman" w:eastAsia="Times New Roman"/>
                <w:b w:val="false"/>
                <w:sz w:val="26"/>
              </w:rPr>
              <w:t>Phí : 480.000 Đồng</w:t>
              <w:t xml:space="preserve"> (Phí tra cứu thông tin nhằm phục vụ việc thẩm định giải quyết khiếu nại và các công việc khác trong phạm vi trách nhiệm: Kiểu dáng công nghiệp (cho mỗi phương án của từng sản phẩm))</w:t>
            </w:r>
          </w:p>
          <w:p>
            <w:pPr>
              <w:spacing w:after="0" w:before="0" w:lineRule="auto" w:line="276"/>
              <w:jc w:val="left"/>
            </w:pPr>
            <w:r>
              <w:rPr>
                <w:rFonts w:ascii="Times New Roman" w:hAnsi="Times New Roman" w:cs="Times New Roman" w:eastAsia="Times New Roman"/>
                <w:b w:val="false"/>
                <w:sz w:val="26"/>
              </w:rPr>
              <w:t>Phí : 550.000 Đồng</w:t>
              <w:t xml:space="preserve"> (Phí thẩm định để giải quyết khiếu nại các đối tượng sở hữu công nghiệp: Nhãn hiệu (mỗi nhóm có đến 6 sản phẩm/dịch vụ) nếu đơn nhãn hiệu có trên 6 sản phẩm/dịch vụ trong một nhóm, phải nộp thêm cho mỗi sản phẩm/dịch vụ từ thứ 7 trở đi: 120.000 đồng;)</w:t>
            </w:r>
          </w:p>
          <w:p>
            <w:pPr>
              <w:spacing w:after="0" w:before="0" w:lineRule="auto" w:line="276"/>
              <w:jc w:val="left"/>
            </w:pPr>
            <w:r>
              <w:rPr>
                <w:rFonts w:ascii="Times New Roman" w:hAnsi="Times New Roman" w:cs="Times New Roman" w:eastAsia="Times New Roman"/>
                <w:b w:val="false"/>
                <w:sz w:val="26"/>
              </w:rPr>
              <w:t>Phí : 600.000 Đồng</w:t>
              <w:t xml:space="preserve"> (Phí tra cứu thông tin nhằm phục vụ việc thẩm định giải quyết khiếu nại và các công việc khác trong phạm vi trách nhiệm: Sáng chế (bao gồm cả giải pháp hữu ích) (mỗi điểm độc lập của yêu cầu bảo hộ);)</w:t>
            </w:r>
          </w:p>
          <w:p>
            <w:pPr>
              <w:spacing w:after="0" w:before="0" w:lineRule="auto" w:line="276"/>
              <w:jc w:val="left"/>
            </w:pPr>
            <w:r>
              <w:rPr>
                <w:rFonts w:ascii="Times New Roman" w:hAnsi="Times New Roman" w:cs="Times New Roman" w:eastAsia="Times New Roman"/>
                <w:b w:val="false"/>
                <w:sz w:val="26"/>
              </w:rPr>
              <w:t>Phí : 700.000 Đồng</w:t>
              <w:t xml:space="preserve"> (Phí thẩm định để giải quyết khiếu nại các đối tượng sở hữu công nghiệp: Kiểu dáng công nghiệp (mỗi phương án của từng sản phẩm);)</w:t>
            </w:r>
          </w:p>
          <w:p>
            <w:pPr>
              <w:spacing w:after="0" w:before="0" w:lineRule="auto" w:line="276"/>
              <w:jc w:val="left"/>
            </w:pPr>
            <w:r>
              <w:rPr>
                <w:rFonts w:ascii="Times New Roman" w:hAnsi="Times New Roman" w:cs="Times New Roman" w:eastAsia="Times New Roman"/>
                <w:b w:val="false"/>
                <w:sz w:val="26"/>
              </w:rPr>
              <w:t>Phí : 900.000 Đồng</w:t>
              <w:t xml:space="preserve"> (Phí thẩm định để giải quyết khiếu nại các đối tượng sở hữu công nghiệp: Sáng chế (bao gồm cả giải pháp hữu ích): 900.000 đồng (mỗi điểm yêu cầu bảo hộ độc lập);)</w:t>
            </w:r>
          </w:p>
          <w:p>
            <w:pPr>
              <w:spacing w:after="0" w:before="0" w:lineRule="auto" w:line="276"/>
              <w:jc w:val="left"/>
            </w:pPr>
            <w:r>
              <w:rPr>
                <w:rFonts w:ascii="Times New Roman" w:hAnsi="Times New Roman" w:cs="Times New Roman" w:eastAsia="Times New Roman"/>
                <w:b w:val="false"/>
                <w:sz w:val="26"/>
              </w:rPr>
              <w:t>Phí : 1.200.000 Đồng</w:t>
              <w:t xml:space="preserve"> (Phí thẩm định để giải quyết khiếu nại các đối tượng sở hữu công nghiệp: Chỉ dẫn địa lý (bao gồm cả tên gọi xuất xứ hàng hoá) (mỗi đơn))</w:t>
            </w:r>
          </w:p>
        </w:tc>
        <w:tc>
          <w:p/>
          <w:p>
            <w:pPr>
              <w:spacing w:after="0" w:before="0" w:lineRule="auto" w:line="276"/>
              <w:jc w:val="left"/>
            </w:pPr>
            <w:r>
              <w:rPr>
                <w:rFonts w:ascii="Times New Roman" w:hAnsi="Times New Roman" w:cs="Times New Roman" w:eastAsia="Times New Roman"/>
                <w:b w:val="false"/>
                <w:sz w:val="26"/>
              </w:rPr>
              <w:t>- 10 ngày để ra thông báo thụ lý hoặc không thụ lý hồ sơ kể từ ngày tiếp nhận hồ sơ;
- 01 tháng kể từ ngày ra thông báo để người có quyền, lợi ích liên quan trực tiếp có ý kiến;
- 30 ngày kể từ ngày thụ lý; đối với vụ việc phức tạp thì thời hạn này là 45 ngày (đối với khiếu nại lần thứ nhất);
- 45 ngày kể từ ngày thụ lý; đối với vụ việc phức tạp thì thời hạn này là 60 ngày (đối với khiếu nại lần thứ hai).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Các thành phần hồ sơ theo quy định tại Điều 119a Luật Sở hữu trí tuệ và Điều 36 Thông tư 23/2023/TT-BKHCN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khiếu nại được thực hiện theo quy định tại khoản 1 Điều 3 của Nghị định số 124/2020/NĐ-CP ngày 19 tháng 10 năm 2020 quy định chi tiết một số điều và biện pháp thi hành Luật Khiếu nại;</w:t>
            </w:r>
          </w:p>
        </w:tc>
        <w:tc>
          <w:p/>
          <w:p>
            <w:pPr>
              <w:spacing w:after="0" w:before="0" w:lineRule="auto" w:line="276"/>
              <w:jc w:val="left"/>
            </w:pPr>
            <w:r>
              <w:rPr>
                <w:rFonts w:ascii="Times New Roman" w:hAnsi="Times New Roman" w:cs="Times New Roman" w:eastAsia="Times New Roman"/>
                <w:b w:val="false"/>
                <w:sz w:val="26"/>
              </w:rPr>
              <w:t>To khai khieu nai.docx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quyết định hoặc thông báo bị khiếu nại của Cục Sở hữu trí tuệ và bản sao đơn đăng ký sở hữu công nghiệp là đối tượng của quyết định hoặc thông báo đó (trong trường hợp người nộp đơn khiếu nại lần hai); hoặc tài liệu chỉ dẫn thông tin về các tài liệu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quyết định giải quyết khiếu nại lần thứ nhất (đối với khiếu nại lần thứ hai);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Chứng cứ (bằng chứng hoặc vật chứng) dùng để chứng minh, làm rõ lập luận khiếu nại. Chứng cứ có thể được nộp bổ sung trong thời hạn 01 tháng kể từ ngày nộp đơn khiếu nại.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uỷ quyền (nếu nộp đơn thông qua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thụ lý/từ chối thụ lý đơn khiếu nại, Quyết định giải quyết khiếu nại.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02/2011/QH13</w:t>
            </w:r>
          </w:p>
        </w:tc>
        <w:tc>
          <w:p/>
          <w:p>
            <w:pPr>
              <w:spacing w:after="0" w:before="0" w:lineRule="auto" w:line="276"/>
              <w:jc w:val="left"/>
            </w:pPr>
            <w:r>
              <w:rPr>
                <w:rFonts w:ascii="Times New Roman" w:hAnsi="Times New Roman" w:cs="Times New Roman" w:eastAsia="Times New Roman"/>
                <w:b w:val="false"/>
                <w:sz w:val="26"/>
              </w:rPr>
              <w:t>Khiếu nại</w:t>
            </w:r>
          </w:p>
        </w:tc>
        <w:tc>
          <w:p/>
          <w:p>
            <w:pPr>
              <w:spacing w:after="0" w:before="0" w:lineRule="auto" w:line="276"/>
              <w:jc w:val="left"/>
            </w:pPr>
            <w:r>
              <w:rPr>
                <w:rFonts w:ascii="Times New Roman" w:hAnsi="Times New Roman" w:cs="Times New Roman" w:eastAsia="Times New Roman"/>
                <w:b w:val="false"/>
                <w:sz w:val="26"/>
              </w:rPr>
              <w:t>01-11-2011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124/2020/NĐ-CP</w:t>
            </w:r>
          </w:p>
        </w:tc>
        <w:tc>
          <w:p/>
          <w:p>
            <w:pPr>
              <w:spacing w:after="0" w:before="0" w:lineRule="auto" w:line="276"/>
              <w:jc w:val="left"/>
            </w:pPr>
            <w:r>
              <w:rPr>
                <w:rFonts w:ascii="Times New Roman" w:hAnsi="Times New Roman" w:cs="Times New Roman" w:eastAsia="Times New Roman"/>
                <w:b w:val="false"/>
                <w:sz w:val="26"/>
              </w:rPr>
              <w:t>Nghị định 124/2020/NĐ-CP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11/VBHN-VPQH</w:t>
            </w:r>
          </w:p>
        </w:tc>
        <w:tc>
          <w:p/>
          <w:p>
            <w:pPr>
              <w:spacing w:after="0" w:before="0" w:lineRule="auto" w:line="276"/>
              <w:jc w:val="left"/>
            </w:pPr>
            <w:r>
              <w:rPr>
                <w:rFonts w:ascii="Times New Roman" w:hAnsi="Times New Roman" w:cs="Times New Roman" w:eastAsia="Times New Roman"/>
                <w:b w:val="false"/>
                <w:sz w:val="26"/>
              </w:rPr>
              <w:t>Luật Sở hữu trí tuệ số 50/2005/QH11 ngày 29 tháng 11 năm 2005, được sửa đổi, bổ sung theo các Luật số 36/2009/QH12 ngày 19 tháng 6 năm 2009, Luật số 42/2019/QH14 ngày 14 tháng 6 năm 2019 và Luật số 07/2022/QH15 ngày 16 tháng 6 năm 2022</w:t>
            </w:r>
          </w:p>
        </w:tc>
        <w:tc>
          <w:p/>
          <w:p>
            <w:pPr>
              <w:spacing w:after="0" w:before="0" w:lineRule="auto" w:line="276"/>
              <w:jc w:val="left"/>
            </w:pPr>
            <w:r>
              <w:rPr>
                <w:rFonts w:ascii="Times New Roman" w:hAnsi="Times New Roman" w:cs="Times New Roman" w:eastAsia="Times New Roman"/>
                <w:b w:val="false"/>
                <w:sz w:val="26"/>
              </w:rPr>
              <w:t>29-11-2005</w:t>
            </w:r>
          </w:p>
        </w:tc>
        <w:tc>
          <w:p/>
        </w:tc>
      </w:tr>
      <w:tr>
        <w:tc>
          <w:p/>
          <w:p>
            <w:pPr>
              <w:spacing w:after="0" w:before="0" w:lineRule="auto" w:line="276"/>
              <w:jc w:val="left"/>
            </w:pPr>
            <w:r>
              <w:rPr>
                <w:rFonts w:ascii="Times New Roman" w:hAnsi="Times New Roman" w:cs="Times New Roman" w:eastAsia="Times New Roman"/>
                <w:b w:val="false"/>
                <w:sz w:val="26"/>
              </w:rPr>
              <w:t>65/2023/NĐ-CP</w:t>
            </w:r>
          </w:p>
        </w:tc>
        <w:tc>
          <w:p/>
          <w:p>
            <w:pPr>
              <w:spacing w:after="0" w:before="0" w:lineRule="auto" w:line="276"/>
              <w:jc w:val="left"/>
            </w:pPr>
            <w:r>
              <w:rPr>
                <w:rFonts w:ascii="Times New Roman" w:hAnsi="Times New Roman" w:cs="Times New Roman" w:eastAsia="Times New Roman"/>
                <w:b w:val="false"/>
                <w:sz w:val="26"/>
              </w:rPr>
              <w:t>Nghị định số 65/2023/NĐ-CP ngày 23/8/2023 của Chính phủ quy định chi tiết một số điều và biện pháp thi hành Luật Sở hữu trí tuệ về sở hữu công nghiệp, bảo vệ quyền sở hữu công nghiệp, quyền đối với giống cây trồng và quản lý nhà nước về sở hữu trí tuệ</w:t>
            </w:r>
          </w:p>
        </w:tc>
        <w:tc>
          <w:p/>
          <w:p>
            <w:pPr>
              <w:spacing w:after="0" w:before="0" w:lineRule="auto" w:line="276"/>
              <w:jc w:val="left"/>
            </w:pPr>
            <w:r>
              <w:rPr>
                <w:rFonts w:ascii="Times New Roman" w:hAnsi="Times New Roman" w:cs="Times New Roman" w:eastAsia="Times New Roman"/>
                <w:b w:val="false"/>
                <w:sz w:val="26"/>
              </w:rPr>
              <w:t>23-08-2023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31/2020/TT-BTC</w:t>
            </w:r>
          </w:p>
        </w:tc>
        <w:tc>
          <w:p/>
          <w:p>
            <w:pPr>
              <w:spacing w:after="0" w:before="0" w:lineRule="auto" w:line="276"/>
              <w:jc w:val="left"/>
            </w:pPr>
            <w:r>
              <w:rPr>
                <w:rFonts w:ascii="Times New Roman" w:hAnsi="Times New Roman" w:cs="Times New Roman" w:eastAsia="Times New Roman"/>
                <w:b w:val="false"/>
                <w:sz w:val="26"/>
              </w:rPr>
              <w:t>31/2020/TT-BTC - Thông tư sửa đổi, bổ sung một số điều của Thông tư số 263/2016/TT-BTC ngày 14 tháng 11 năm 2016 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04-05-2020</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263/2016/TT-BTC - Thông tư 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63/2023/TT-BTC</w:t>
            </w:r>
          </w:p>
        </w:tc>
        <w:tc>
          <w:p/>
          <w:p>
            <w:pPr>
              <w:spacing w:after="0" w:before="0" w:lineRule="auto" w:line="276"/>
              <w:jc w:val="left"/>
            </w:pPr>
            <w:r>
              <w:rPr>
                <w:rFonts w:ascii="Times New Roman" w:hAnsi="Times New Roman" w:cs="Times New Roman" w:eastAsia="Times New Roman"/>
                <w:b w:val="false"/>
                <w:sz w:val="26"/>
              </w:rPr>
              <w:t>Thông tư số 63/2023/TT-BTC ngày 16/10/2023 của Bộ trưởng Bộ Tài chính quy định sửa đổi, bổ sung một số điều của một số thông tư quy định về phí, lệ phí của Bộ Trưởng Bộ Tài chính nhằm khuyến khích sử dụng dịch vụ công trực tuyến (có hiệu lực kể từ ngày 01/01/2024 đến hết ngày 31/12/2025)</w:t>
            </w:r>
          </w:p>
        </w:tc>
        <w:tc>
          <w:p/>
          <w:p>
            <w:pPr>
              <w:spacing w:after="0" w:before="0" w:lineRule="auto" w:line="276"/>
              <w:jc w:val="left"/>
            </w:pPr>
            <w:r>
              <w:rPr>
                <w:rFonts w:ascii="Times New Roman" w:hAnsi="Times New Roman" w:cs="Times New Roman" w:eastAsia="Times New Roman"/>
                <w:b w:val="false"/>
                <w:sz w:val="26"/>
              </w:rPr>
              <w:t>16-10-2023</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23/2023/TT-BKHCN</w:t>
            </w:r>
          </w:p>
        </w:tc>
        <w:tc>
          <w:p/>
          <w:p>
            <w:pPr>
              <w:spacing w:after="0" w:before="0" w:lineRule="auto" w:line="276"/>
              <w:jc w:val="left"/>
            </w:pPr>
            <w:r>
              <w:rPr>
                <w:rFonts w:ascii="Times New Roman" w:hAnsi="Times New Roman" w:cs="Times New Roman" w:eastAsia="Times New Roman"/>
                <w:b w:val="false"/>
                <w:sz w:val="26"/>
              </w:rPr>
              <w:t>Thông tư số 23/2023/TT-BKHCN ngày 30/11/2023 của Bộ trưởng Bộ Khoa học và Công nghệ  quy định chi tiết một số điều của Luật Sở hữu trí tuệ và biện pháp thi hành Nghị định số 65/2023/NĐ-CP ngày 23 tháng 8 năm 2023 của Chính phủ quy định chi tiết một số điều và biện pháp thi hành Luật Sở hữu trí tuệ về sở hữu công nghiệp, bảo vệ quyền sở hữu công nghiệp, quyền đối với giống cây trồng và quản lý nhà nước về sở hữu trí tuệ liên quan đến thủ tục xác lập quyền sở hữu công nghiệp và bảo đảm thông tin sở hữu công nghiệp</w:t>
            </w:r>
          </w:p>
        </w:tc>
        <w:tc>
          <w:p/>
          <w:p>
            <w:pPr>
              <w:spacing w:after="0" w:before="0" w:lineRule="auto" w:line="276"/>
              <w:jc w:val="left"/>
            </w:pPr>
            <w:r>
              <w:rPr>
                <w:rFonts w:ascii="Times New Roman" w:hAnsi="Times New Roman" w:cs="Times New Roman" w:eastAsia="Times New Roman"/>
                <w:b w:val="false"/>
                <w:sz w:val="26"/>
              </w:rPr>
              <w:t>30-11-2023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nộp đơn khiếu nại phải là người có quyền, lợi ích liên quan trực tiếp đến quyết định hoặc thông báo liên quan đến việc xử lý đơn đăng ký xác lập quyền, duy trì, gia hạn, sửa đổi, chấm dứt, hủy bỏ hiệu lực văn bằng bảo hộ sở hữu công nghiệp, đăng ký hợp đồng chuyển giao quyền sở hữu công nghiệp do cơ quan quản lý nhà nước về quyền sở hữu công nghiệp ban hành. 
- Đơn khiếu nại phải được nộp trong thời hiệu quy định tại các Điều 9 và 33 của Luật Khiếu nại.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2026-05-20T04:41:31Z</dcterms:created>
  <dc:creator>Apache POI</dc:creator>
</cp:coreProperties>
</file>