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cho người lao động thuộc đối tượng là người dân tộc thiểu số, người thuộc hộ nghèo, hộ cận nghèo, thân nhân người có công với cách mạng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trực tiếp nộp hoặc gửi qua đường bưu điện 01 (một) bộ hồ sơ đến Bộ phận Tiếp nhận và Trả kết quả thuộc Văn phòng HĐND&amp;UBND cấp huyện;
- Bước 2: Chậm nhất 10 ngày làm việc, kể từ ngày nhận được đầy đủ hồ sơ hợp lệ của người lao động, UBND cấp huyện có trách nhiệm thanh toán tiền hỗ trợ trực tiếp hoặc qua tài khoản ngân hàng của người lao động;
- Bước 3: UBND cấp huyện lưu giữ các hồ sơ, chứng từ.</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hỗ trợ theo Mẫu số 01a tại Phụ lục;</w:t>
            </w:r>
          </w:p>
        </w:tc>
        <w:tc>
          <w:p/>
          <w:p>
            <w:pPr>
              <w:spacing w:after="0" w:before="0" w:lineRule="auto" w:line="276"/>
              <w:jc w:val="left"/>
            </w:pPr>
            <w:r>
              <w:rPr>
                <w:rFonts w:ascii="Times New Roman" w:hAnsi="Times New Roman" w:cs="Times New Roman" w:eastAsia="Times New Roman"/>
                <w:b w:val="false"/>
                <w:sz w:val="26"/>
              </w:rPr>
              <w:t>3.Mus01atiPhlc.docx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người lao động thuộc một trong các đối tượng: người dân tộc thiểu số, người thuộc hộ nghèo, hộ cận nghèo, thân nhân người có công với cách mạng: + Người lao động thuộc hộ nghèo, hộ cận nghèo: xác nhận của Ủy ban nhân dân xã, phường, thị trấn tại Giấy đề nghị hỗ trợ của người lao động;  + Người lao động là thân nhân người có công với cách mạng: giấy xác nhận là thân nhân người có công với cách mạng theo Mẫu số 01b tại Phụ lục,,</w:t>
            </w:r>
          </w:p>
        </w:tc>
        <w:tc>
          <w:p/>
          <w:p>
            <w:pPr>
              <w:spacing w:after="0" w:before="0" w:lineRule="auto" w:line="276"/>
              <w:jc w:val="left"/>
            </w:pPr>
            <w:r>
              <w:rPr>
                <w:rFonts w:ascii="Times New Roman" w:hAnsi="Times New Roman" w:cs="Times New Roman" w:eastAsia="Times New Roman"/>
                <w:b w:val="false"/>
                <w:sz w:val="26"/>
              </w:rPr>
              <w:t>3.Mus01btiPhlc.docx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đi làm việc ở nước ngoài ký giữa người lao động và doanh nghiệp đưa người lao động đi làm việc ở nước ngoài (có xác nhận của doanh nghiệp) hoặc hợp đồng lao động trực tiếp giao kết giữa người lao động với người sử dụng lao động ở nước ngoài (nếu hợp đồng bằng tiếng nước ngoài thì phải dịch sang tiếng Việt và có chứng thực) và xác nhận đăng ký hợp đồng lao động của Sở Lao động - Thương binh và Xã hội (nay là Sở Nội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hộ chiếu và thị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chỉ hoặc giấy chứng nhận hoàn thành khóa đào tạo nghề, ngoại ngữ, giáo dục định hướng của người lao động làm cơ sở thanh toán chi phí ăn, ở trong thời gian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Hóa đơn hoặc biên lai thu tiền đào tạo nghề, ngoại ngữ, giáo dục định hướng, khám sức khỏe, hộ chiếu, thị thực và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HĐND&amp;UBND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được hỗ trợ bằng tiền..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72/2006/QH11</w:t>
            </w:r>
          </w:p>
        </w:tc>
        <w:tc>
          <w:p/>
          <w:p>
            <w:pPr>
              <w:spacing w:after="0" w:before="0" w:lineRule="auto" w:line="276"/>
              <w:jc w:val="left"/>
            </w:pPr>
            <w:r>
              <w:rPr>
                <w:rFonts w:ascii="Times New Roman" w:hAnsi="Times New Roman" w:cs="Times New Roman" w:eastAsia="Times New Roman"/>
                <w:b w:val="false"/>
                <w:sz w:val="26"/>
              </w:rPr>
              <w:t>Luật 72/2006/QH11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quyết số 30a/2008/NQ-CP</w:t>
            </w:r>
          </w:p>
        </w:tc>
        <w:tc>
          <w:p/>
          <w:p>
            <w:pPr>
              <w:spacing w:after="0" w:before="0" w:lineRule="auto" w:line="276"/>
              <w:jc w:val="left"/>
            </w:pPr>
            <w:r>
              <w:rPr>
                <w:rFonts w:ascii="Times New Roman" w:hAnsi="Times New Roman" w:cs="Times New Roman" w:eastAsia="Times New Roman"/>
                <w:b w:val="false"/>
                <w:sz w:val="26"/>
              </w:rPr>
              <w:t>về chương trình hỗ trợ giảm nghèo nhanh và bền vững đối với 61 huyện nghèo</w:t>
            </w:r>
          </w:p>
        </w:tc>
        <w:tc>
          <w:p/>
          <w:p>
            <w:pPr>
              <w:spacing w:after="0" w:before="0" w:lineRule="auto" w:line="276"/>
              <w:jc w:val="left"/>
            </w:pPr>
            <w:r>
              <w:rPr>
                <w:rFonts w:ascii="Times New Roman" w:hAnsi="Times New Roman" w:cs="Times New Roman" w:eastAsia="Times New Roman"/>
                <w:b w:val="false"/>
                <w:sz w:val="26"/>
              </w:rPr>
              <w:t>27-12-2008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09/2016/TTLT-BLĐTBXH-BTC</w:t>
            </w:r>
          </w:p>
        </w:tc>
        <w:tc>
          <w:p/>
          <w:p>
            <w:pPr>
              <w:spacing w:after="0" w:before="0" w:lineRule="auto" w:line="276"/>
              <w:jc w:val="left"/>
            </w:pPr>
            <w:r>
              <w:rPr>
                <w:rFonts w:ascii="Times New Roman" w:hAnsi="Times New Roman" w:cs="Times New Roman" w:eastAsia="Times New Roman"/>
                <w:b w:val="false"/>
                <w:sz w:val="26"/>
              </w:rPr>
              <w:t>HƯỚNG DẪN THỰC HIỆN MỘT SỐ ĐIỀU VỀ HỖ TRỢ ĐƯA NGƯỜI LAO ĐỘNG ĐI LÀM VIỆC Ở NƯỚC NGOÀI THEO HỢP ĐỒNG QUY ĐỊNH TẠI NGHỊ ĐỊNH SỐ 61/2015/NĐ-CP NGÀY 09 THÁNG 7 NĂM 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15-06-2016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có nhu cầu đi làm việc ở nước ngoài theo hợp đồng thuộc đối tượng:
- Người dân tộc thiểu số;
- Người thuộc hộ nghèo, hộ cận nghèo theo quy định của pháp luật;
- Thân nhân của người có công với cách mạng quy định tại khoản 1 Điều 4 Nghị định số 31/2013/NĐ-CP ngày 09 tháng 4 năm 2013 của Chính phủ quy định chi tiết, hướng dẫn thi hành một số điều của Pháp lệnh ưu đãi người có công với cách mạng.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2026-05-26T13:03:44Z</dcterms:created>
  <dc:creator>Apache POI</dc:creator>
</cp:coreProperties>
</file>