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01 bộ hồ sơ đề nghị cấp mới và nộp phí theo quy định của pháp luật về phí, lệ phí cho cơ quan có thẩm quyền cấp giấy phép hoạt động (sau đây viết tắt là cơ quan cấp giấy phép hoạt động) cụ thể như sau:
	1. Bộ Y tế: 
	a) Cục Quản lý Khám chữa bệnh: đối với các cơ sở khám bệnh, chữa bệnh Nhà nước trực thuộc Bộ Y tế và bệnh viện tư nhân trừ các trường hợp thuộc điểm b, c mục này;
	b) Cục Quản lý Y, Dược cổ truyền: đối với các cơ sở khám bệnh, chữa bệnh y học cổ truyền Nhà nước  trực thuộc Bộ Y tế và bệnh viện y học cổ truyền tư nhân.
	c) Cục Phòng bệnh: đối với các cơ sở khám bệnh, chữa bệnh tổ chức theo hình thức cơ sở độc lập chỉ thực hiện khám bệnh, chữa bệnh đối với bệnh nghề nghiệp Nhà nước trực thuộc Bộ Y tế và Bệnh viện tư nhân tổ chức theo hình thức cơ sở độc lập chỉ thực hiện khám bệnh, chữa bệnh đối với bệnh nghề nghiệp.
	2. Sở Y tế:
	a) Các cơ sở khám bệnh, chữa bệnh trên địa bàn quản lý của Sở Y tế (bao gồm cả các cơ sở khám bệnh, chữa bệnh thuộc Bộ, ngành), trừ cơ sở khám bệnh, chữa bệnh trực thuộc Bộ Y tế và các cơ sở khám bệnh, chữa bệnh thuộc thẩm quyền quản lý của Bộ Quốc phòng, Bộ Công an;
	b) Cơ sở khám bệnh, chữa bệnh tư nhân trên địa bàn quản lý (trừ bệnh viện tư nhân).
Bước 2:
Sau khi tiếp nhận hồ sơ, cơ quan tiếp nhận hồ sơ cấp cho cơ sở đề nghị phiếu tiếp nhận hồ sơ theo Mẫu 02 Phụ lục I ban hành kèm theo Nghị định số 96/2023/NĐ-CP.
Bước 3:
1. Trường hợp không có yêu cầu sửa đổi, bổ sung hồ sơ:
a) Cơ quan cấp giấy phép hoạt động tổ chức thẩm định điều kiện hoạt động và danh mục kỹ thuật thực hiện tại cơ sở đề nghị và lập biên bản thẩm định trong thời hạn 60 ngày, kể từ ngày ghi trên phiếu tiếp nhận hồ sơ;
b) Trường hợp không có yêu cầu sửa đổi, bổ sung phải cấp mới giấy phép hoạt động và ban hành quyết định phê duyệt danh mục kỹ thuật thực hiện tại cơ sở trong thời hạn 10 ngày làm việc, kể từ ngày ban hành biên bản thẩm định;
c) Trường hợp có yêu cầu sửa đổi, bổ sung phải nêu rõ trong nội dung của biên bản thẩm định. 
Trong thời hạn 10 ngày làm việc, kể từ ngày nhận được văn bản thông báo và tài liệu chứng minh đã hoàn thành việc khắc phục, sửa chữa của cơ sở đề nghị, cơ quan cấp giấy phép hoạt động có thể tiến hành kiểm tra thực tế việc khắc phục, sửa chữa của cơ sở đề nghị trong trường hợp cần thiết hoặc thực hiện việc cấp giấy phép hoạt động. Trường hợp không cấp giấy phép hoạt động phải có văn bản trả lời và nêu rõ lý do.
2. Trường hợp có yêu cầu sửa đổi, bổ sung hồ sơ:
a) Cơ quan cấp giấy phép hoạt động phải có văn bản gửi cơ sở đề nghị, trong đó phải nêu cụ thể các tài liệu, nội dung cần sửa đổi, bổ sung trong thời hạn 10 ngày, kể từ ngày ghi trên phiếu tiếp nhận hồ sơ;
b) Sau khi sửa đổi, bổ sung hồ sơ, cơ sở đề nghị gửi văn bản thông báo và tài liệu chứng minh đã hoàn thành việc sửa đổi, bổ sung;
c) Sau khi nhận hồ sơ sửa đổi, bổ sung, cơ quan cấp giấy phép hoạt động có trách nhiệm thực hiện trình tự theo quy định:
- Đối với trường hợp không còn có yêu cầu sửa đổi, bổ sung thực hiện theo trình tự tại mục 1 của bước này;
- Đối với trường hợp cơ sở đã sửa đổi, bổ sung nhưng chưa đáp ứng yêu cầu thực hiện theo trình tự tại mục 2 của bước này.
Bước 4:
Trong thời hạn 05 ngày làm việc, kể từ ngày cấp giấy phép hoạt động, cơ quan cấp giấy phép hoạt động công bố trên Cổng thông tin điện tử của mình và trên Hệ thống thông tin về quản lý hoạt động khám bệnh, chữa bệnh của Bộ Y tế các thông tin sau: tên, địa chỉ cơ sở được cấp giấy phép hoạt động; họ, tên và số giấy phép hành nghề người chịu trách nhiệm chuyên môn kỹ thuật; số giấy phép hoạt động; phạm vi hoạt động chuyên môn và thời gian hoạt động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 </w:t>
            </w:r>
          </w:p>
        </w:tc>
        <w:tc>
          <w:p/>
          <w:p>
            <w:pPr>
              <w:spacing w:after="0" w:before="0" w:lineRule="auto" w:line="276"/>
              <w:jc w:val="left"/>
            </w:pPr>
            <w:r>
              <w:rPr>
                <w:rFonts w:ascii="Times New Roman" w:hAnsi="Times New Roman" w:cs="Times New Roman" w:eastAsia="Times New Roman"/>
                <w:b w:val="false"/>
                <w:sz w:val="26"/>
              </w:rPr>
              <w:t>Phí : 2.150.000 Đồng</w:t>
              <w:t xml:space="preserve">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1.550.000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tc>
        <w:tc>
          <w:p/>
          <w:p>
            <w:pPr>
              <w:spacing w:after="0" w:before="0" w:lineRule="auto" w:line="276"/>
              <w:jc w:val="left"/>
            </w:pPr>
            <w:r>
              <w:rPr>
                <w:rFonts w:ascii="Times New Roman" w:hAnsi="Times New Roman" w:cs="Times New Roman" w:eastAsia="Times New Roman"/>
                <w:b w:val="false"/>
                <w:sz w:val="26"/>
              </w:rPr>
              <w:t>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 </w:t>
            </w:r>
          </w:p>
        </w:tc>
        <w:tc>
          <w:p/>
          <w:p>
            <w:pPr>
              <w:spacing w:after="0" w:before="0" w:lineRule="auto" w:line="276"/>
              <w:jc w:val="left"/>
            </w:pPr>
            <w:r>
              <w:rPr>
                <w:rFonts w:ascii="Times New Roman" w:hAnsi="Times New Roman" w:cs="Times New Roman" w:eastAsia="Times New Roman"/>
                <w:b w:val="false"/>
                <w:sz w:val="26"/>
              </w:rPr>
              <w:t>Phí : 1.550.000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tc>
        <w:tc>
          <w:p/>
          <w:p>
            <w:pPr>
              <w:spacing w:after="0" w:before="0" w:lineRule="auto" w:line="276"/>
              <w:jc w:val="left"/>
            </w:pPr>
            <w:r>
              <w:rPr>
                <w:rFonts w:ascii="Times New Roman" w:hAnsi="Times New Roman" w:cs="Times New Roman" w:eastAsia="Times New Roman"/>
                <w:b w:val="false"/>
                <w:sz w:val="26"/>
              </w:rPr>
              <w:t>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 </w:t>
            </w:r>
          </w:p>
        </w:tc>
        <w:tc>
          <w:p/>
          <w:p>
            <w:pPr>
              <w:spacing w:after="0" w:before="0" w:lineRule="auto" w:line="276"/>
              <w:jc w:val="left"/>
            </w:pPr>
            <w:r>
              <w:rPr>
                <w:rFonts w:ascii="Times New Roman" w:hAnsi="Times New Roman" w:cs="Times New Roman" w:eastAsia="Times New Roman"/>
                <w:b w:val="false"/>
                <w:sz w:val="26"/>
              </w:rPr>
              <w:t>Phí : 1.550.000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tc>
        <w:tc>
          <w:p/>
          <w:p>
            <w:pPr>
              <w:spacing w:after="0" w:before="0" w:lineRule="auto" w:line="276"/>
              <w:jc w:val="left"/>
            </w:pPr>
            <w:r>
              <w:rPr>
                <w:rFonts w:ascii="Times New Roman" w:hAnsi="Times New Roman" w:cs="Times New Roman" w:eastAsia="Times New Roman"/>
                <w:b w:val="false"/>
                <w:sz w:val="26"/>
              </w:rPr>
              <w:t>Tổ chức thẩm định điều kiện hoạt động và danh mục kỹ thuật thực hiện tại cơ sở đề nghị và lập biên bản thẩm định trong thời hạn 60 ngày kể từ ngày nhận đủ hồ sơ và;
10 ngày làm việc kể từ ngày ban hành biên bản thẩm định hoặc nhận được văn bản thông báo và tài liệu chứng minh đã hoàn thành việc khắc phục, sửa chữa của cơ sở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Hồ sơ đề nghị cấp mới giấy phép hoạt động đối với trường hợp quy định tại các điểm a, b, c, d, đ, e khoản 1 Điều 59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phép hành  nghề và giấy xác nhận quá trình hành nghề theo Mẫu 11 Phụ lục I ban hành kèm theo Nghị định số 96/2023/NĐ-CP của người chịu trách nhiệm chuyên môn kỹ thuật của cơ sở khám bệnh, chữa bệnh (không áp dụng đối với trường hợp các giấy tờ này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giấy phép hành  nghề và giấy xác nhận quá trình hành nghề theo Mẫu 11 Phụ lục I ban hành kèm theo Nghị định số 96/2023/NĐ-CP của người phụ trách bộ phận chuyên môn của cơ sở khám bệnh, chữa bệnh (không áp dụng đối với trường hợp các giấy tờ này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11.docx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cơ sở vật chất,  danh mục thiết bị y tế, danh sách nhân sự đáp ứng điều kiện cấp giấy phép hoạt động tương ứng với từng hình thức tổ chức theo Mẫu 08 Phụ lục II ban hành kèm theo Nghị định số 96/2023/NĐ-CP và các giấy tờ chứng minh, xác nhận các kê khai đó</w:t>
            </w:r>
          </w:p>
        </w:tc>
        <w:tc>
          <w:p/>
          <w:p>
            <w:pPr>
              <w:spacing w:after="0" w:before="0" w:lineRule="auto" w:line="276"/>
              <w:jc w:val="left"/>
            </w:pPr>
            <w:r>
              <w:rPr>
                <w:rFonts w:ascii="Times New Roman" w:hAnsi="Times New Roman" w:cs="Times New Roman" w:eastAsia="Times New Roman"/>
                <w:b w:val="false"/>
                <w:sz w:val="26"/>
              </w:rPr>
              <w:t>Mẫu 08 Kê khai cơ sở vật chất.docx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ghi rõ họ tên,  số giấy phép hành nghề của từng người hành nghề đăng ký hành nghề tại cơ sở đó theo Mẫu 01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 DS đăng ký hành nghề.docx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do cấp có  thẩm quyền phê duyệt quy định về chức năng nhiệm vụ, cơ cấu tổ chức của bệnh viện của nhà nước hoặc điều lệ tổ chức và hoạt động đối với bệnh viện tư nhân theo Mẫu 03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03 điều lệ.docx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đề  nghị cấp lần đầu giấy phép hoạt động cơ sở khám bệnh, chữa bệnh nhân đạo hoặc cơ sở khám bệnh, chữa bệnh không vì mục đích lợi nhuận thì phải có tài liệu chứng minh nguồn tài chính bảo đảm cho hoạt động khám bệnh, chữa bệnh nhân đạo hoặc hoạt động khám bệnh, chữa bệnh không vì mục đích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Hồ sơ đề nghị cấp mới giấy phép hoạt động đối với cơ sở đã được cấp giấy phép hoạt động nhưng đề nghị chuyển sang hoạt động theo mô hình khám bệnh, chữa bệnh nhân đạo hoặc hoạt động theo mô hình không vì mục đích lợi nhuận, không thu chi phí khám bệnh, chữa bệnh của người bệnh theo quy định tại điểm g khoản 1 Điều 59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nguồn tài chính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Cục Phòng bệnh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trường hợp cấp mới giấy phép hoạt động:
a) Cơ sở khám bệnh, chữa bệnh lần đầu tiên đề nghị cấp giấy phép hoạt động;
b) Cơ sở khám bệnh, chữa bệnh bị thu hồi giấy phép hoạt động, trừ trường hợp quy định tại điểm d khoản 1 Điều 56 của Luật Khám bệnh, chữa bệnh;
c) Cơ sở khám bệnh, chữa bệnh đã được cấp giấy phép hoạt động nhưng thay đổi hình thức tổ chức;
d) Cơ sở khám bệnh, chữa bệnh đã được cấp giấy phép hoạt động nhưng thay đổi địa điểm;
đ) Cơ sở khám bệnh, chữa bệnh đã được cấp giấy phép hoạt động nhưng chia tách, hợp nhất, sáp nhập;
e) Cơ sở khám bệnh, chữa bệnh đã được cấp giấy phép hoạt động nhưng bổ sung thêm cơ sở khám bệnh, chữa bệnh trực thuộc ngoài khuôn viên của cơ sở đã được cấp phép;
g) Cơ sở khám bệnh, chữa bệnh đã được cấp giấy phép hoạt động nhưng đề nghị chuyển sang hoạt động theo mô hình khám bệnh, chữa bệnh nhân đạo hoặc cơ sở khám bệnh, chữa bệnh không vì mục đích lợi nhuận.
2. Cơ sở khám bệnh, chữa bệnh đã được cấp giấy phép hoạt động có thay đổi chủ sở hữu nhưng không thay đổi tên gọi, quy mô, phạm vi hoạt động, địa điểm thì không phải thực hiện thủ tục đề nghị cấp mới giấy phép hoạt động.
3. Đáp ứng theo các điều kiện quy định tại Điều 40 đến Điều 58 Nghị định số 96/2023/NĐ-CP ngày 30 tháng 12 năm 2023 của Chính phủ quy định chi tiết một số điều của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2026-05-02T02:03:43Z</dcterms:created>
  <dc:creator>Apache POI</dc:creator>
</cp:coreProperties>
</file>