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1329/QĐ-BTP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bản sao từ bản chính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w:t>
      </w:r>
    </w:p>
    <w:p>
      <w:pPr>
        <w:spacing w:after="0" w:before="0" w:lineRule="auto" w:line="276"/>
        <w:jc w:val="both"/>
      </w:pPr>
      <w:r>
        <w:rPr>
          <w:rFonts w:ascii="Times New Roman" w:hAnsi="Times New Roman" w:cs="Times New Roman" w:eastAsia="Times New Roman"/>
          <w:b w:val="false"/>
          <w:sz w:val="26"/>
        </w:rPr>
        <w:t>* Ghi đầy đủ lời chứng chứng thực bản sao từ bản chính theo mẫu quy định;</w:t>
      </w:r>
    </w:p>
    <w:p>
      <w:pPr>
        <w:spacing w:after="0" w:before="0" w:lineRule="auto" w:line="276"/>
        <w:jc w:val="both"/>
      </w:pPr>
      <w:r>
        <w:rPr>
          <w:rFonts w:ascii="Times New Roman" w:hAnsi="Times New Roman" w:cs="Times New Roman" w:eastAsia="Times New Roman"/>
          <w:b w:val="false"/>
          <w:sz w:val="26"/>
        </w:rPr>
        <w:t>* Ký, ghi rõ họ tên, đóng dấu của tổ chức hành nghề công chứng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sao có từ 02 (hai) trang trở lên thì ghi lời chứng vào trang cuối, nếu bản sao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Mỗi bản sao được chứng thực từ một bản chính giấy tờ, văn bản hoặc nhiều bản sao được chứng thực từ một bản chính giấy tờ, văn bản trong cùng một thời điểm được ghi một số chứng thực.</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chỉ xuất trình bản chính thì công chứng viên tiến hành chụp từ bản chính để thực hiện chứng thực, trừ trường hợp tổ chức hành nghề công chứng không có phương tiện để chụp.</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đối với trang thứ nhất, trang thứ hai; từ trang thứ ba trở lên thu 1.000 đồng/trang nhưng mức thu tối đa không quá 200.000 đồng/bản )</w:t>
              <w:br/>
              <w:t>File đính kèm: 226-2016-TT-BTC.pdf</w:t>
            </w:r>
          </w:p>
        </w:tc>
        <w:tc>
          <w:p/>
          <w:p>
            <w:pPr>
              <w:spacing w:after="0" w:before="0" w:lineRule="auto" w:line="276"/>
              <w:jc w:val="left"/>
            </w:pPr>
            <w:r>
              <w:rPr>
                <w:rFonts w:ascii="Times New Roman" w:hAnsi="Times New Roman" w:cs="Times New Roman" w:eastAsia="Times New Roman"/>
                <w:b w:val="false"/>
                <w:sz w:val="26"/>
              </w:rPr>
              <w:t>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chứng minh nguồn tài chính ổn định bảo đảm cho hoạt động khám bệnh, chữa bệnh nhân đạo;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Bản chính do cơ quan, tổ chức có thẩm quyền của nước ngoài cấp, công chứng hoặc chứng nhận chưa được hợp pháp hóa lãnh sự theo quy định tại Khoản 1 Điều 20 của Nghị định này.
+ Giấy tờ, văn bản do cá nhân tự lập nhưng không có xác nhận và đóng dấu của cơ quan, tổ chức có thẩm quyền.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2026-05-20T05:04:30Z</dcterms:created>
  <dc:creator>Apache POI</dc:creator>
</cp:coreProperties>
</file>