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
+ Người thực hiện chứng thực (hoặc người tiếp nhận hồ sơ)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trang trở lên thì từng trang phải được đánh số thứ tự, có chữ ký của người dịch và người thực hiện chứng thực; số lượng trang, tờ và lời chứng được ghi tại trang cuối của bản dịch hoặc trang liền sau trang cuối của bản dịch; nếu giấy tờ, văn bản có từ 02 tờ trở lên thì phải đóng dấu giáp lai.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đồng/trường hợp)</w:t>
            </w:r>
          </w:p>
        </w:tc>
        <w:tc>
          <w:p/>
          <w:p>
            <w:pPr>
              <w:spacing w:after="0" w:before="0" w:lineRule="auto" w:line="276"/>
              <w:jc w:val="left"/>
            </w:pPr>
            <w:r>
              <w:rPr>
                <w:rFonts w:ascii="Times New Roman" w:hAnsi="Times New Roman" w:cs="Times New Roman" w:eastAsia="Times New Roman"/>
                <w:b w:val="false"/>
                <w:sz w:val="26"/>
              </w:rPr>
              <w:t>Nộp hồ sơ trực tiếp tại UBND cấp xã, tổ chức hành nghề công chứng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2026-05-01T07:20:44Z</dcterms:created>
  <dc:creator>Apache POI</dc:creator>
</cp:coreProperties>
</file>