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1.012415.H36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lương y theo quy định cho các đối tượng quy định tại khoản 1, 2 và khoản 3 Điều 1 Thông tư số 02/2024/TT-BYT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gửi 01 bộ hồ sơ về cơ quan có thẩm quyền theo quy định tại Điều 3 Thông tư số 02/2024/TT-BYT ngày 12 tháng 3 năm 2024
Bước 2: Sau khi nhận được hồ sơ, bộ phận tiếp nhận hồ sơ gửi Phiếu tiếp nhận hồ sơ theo mẫu số 02 Phụ lục I ban hành kèm theo Thông tư số 02/2024/TT-BYT ngày 12 tháng 3 năm 2024.
Trường hợp hồ sơ chưa hợp lệ thì trong thời hạn 05 ngày làm việc, kể từ ngày ghi trên Phiếu tiếp nhận hồ sơ, cơ quan có thẩm quyền phải có thông báo cho người nộp hồ sơ để yêu cầu bổ sung.
Bước 3.  Trong thời hạn 10 ngày làm việc, kể từ ngày nhận được hồ sơ hợp lệ, Tổ thư ký Hội đồng kiểm tra sát hạch phải tiến hành rà soát hồ sơ:
- Trường hợp không đủ điều kiện, cơ quan có thẩm quyền phải có thông báo cho người nộp hồ sơ bằng văn bản và nêu rõ lý do.
- Trường hợp đủ điều kiện, Tổ thư ký lập danh sách trình Hội đồng.
Bước 4.  Trong 10 ngày làm việc, kể từ ngày nhận được danh sách của Tổ thư ký, Hội đồng kiểm tra sát hạch phải họp để giải quyết:
- Trường hợp đủ điều kiện dự kiểm tra sát hạch thì cơ quan có thẩm quyền quy định tại Điều 3 Thông tư số 02/2024/TT-BYT ngày 12 tháng 3 năm 2024 phải xây dựng kế hoạch, tổ chức thi và chấm điểm.
- Trường hợp không đủ điều kiện cấp giấy chứng nhận lương y hoặc không đủ điều kiện dự kiểm tra sát hạch thì cơ quan có thẩm quyền quy định tại Điều 3 Thông tư số 02/2024/TT-BYT ngày 12 tháng 3 năm 2024  phải có văn bản thông báo lý do cho người nộp hồ sơ.
Bước 5: Sau khi kiểm tra sát hạch 15 ngày
 - Trường hợp đạt kết quả kiểm tra sát hạch, Tổ thư ký Hội đồng trình cơ quan có thẩm quyền theo quy định tại Điều 3 Thông tư số 02/2024/TT-BYT ngày 12 tháng 3 năm 2024 cấp giấy chứng nhận lương y.
- Trường hợp không đạt kết quả kiểm tra thi sát hạch thì phải có văn bản thông báo kết quả kiểm tra sát hạch cho từng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1.250.000 Đồng</w:t>
              <w:t xml:space="preserve"> (Mức phí từ ngày 01/7/2025 đến hết ngày 31/12/2026)</w:t>
            </w:r>
          </w:p>
          <w:p>
            <w:pPr>
              <w:spacing w:after="0" w:before="0" w:lineRule="auto" w:line="276"/>
              <w:jc w:val="left"/>
            </w:pPr>
            <w:r>
              <w:rPr>
                <w:rFonts w:ascii="Times New Roman" w:hAnsi="Times New Roman" w:cs="Times New Roman" w:eastAsia="Times New Roman"/>
                <w:b w:val="false"/>
                <w:sz w:val="26"/>
              </w:rPr>
              <w:t>Phí : 2.500.000 Đồng</w:t>
              <w:t xml:space="preserve"> (Mức phí từ ngày 01/01/2027 trở đi)</w:t>
            </w:r>
          </w:p>
        </w:tc>
        <w:tc>
          <w:p/>
          <w:p>
            <w:pPr>
              <w:spacing w:after="0" w:before="0" w:lineRule="auto" w:line="276"/>
              <w:jc w:val="left"/>
            </w:pPr>
            <w:r>
              <w:rPr>
                <w:rFonts w:ascii="Times New Roman" w:hAnsi="Times New Roman" w:cs="Times New Roman" w:eastAsia="Times New Roman"/>
                <w:b w:val="false"/>
                <w:sz w:val="26"/>
              </w:rPr>
              <w:t>kể từ ngày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1.250.000 Đồng</w:t>
              <w:t xml:space="preserve"> (Mức phí từ ngày 01/7/2025 đến hết ngày 31/12/2026)</w:t>
            </w:r>
          </w:p>
          <w:p>
            <w:pPr>
              <w:spacing w:after="0" w:before="0" w:lineRule="auto" w:line="276"/>
              <w:jc w:val="left"/>
            </w:pPr>
            <w:r>
              <w:rPr>
                <w:rFonts w:ascii="Times New Roman" w:hAnsi="Times New Roman" w:cs="Times New Roman" w:eastAsia="Times New Roman"/>
                <w:b w:val="false"/>
                <w:sz w:val="26"/>
              </w:rPr>
              <w:t>Phí : 2.500.000 Đồng</w:t>
              <w:t xml:space="preserve"> (Mức phí từ ngày 01/01/2027 trở đi)</w:t>
            </w:r>
          </w:p>
        </w:tc>
        <w:tc>
          <w:p/>
          <w:p>
            <w:pPr>
              <w:spacing w:after="0" w:before="0" w:lineRule="auto" w:line="276"/>
              <w:jc w:val="left"/>
            </w:pPr>
            <w:r>
              <w:rPr>
                <w:rFonts w:ascii="Times New Roman" w:hAnsi="Times New Roman" w:cs="Times New Roman" w:eastAsia="Times New Roman"/>
                <w:b w:val="false"/>
                <w:sz w:val="26"/>
              </w:rPr>
              <w:t>kể từ ngày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1.250.000 Đồng</w:t>
              <w:t xml:space="preserve"> (Mức phí từ ngày 01/7/2025 đến hết ngày 31/12/2026)</w:t>
            </w:r>
          </w:p>
          <w:p>
            <w:pPr>
              <w:spacing w:after="0" w:before="0" w:lineRule="auto" w:line="276"/>
              <w:jc w:val="left"/>
            </w:pPr>
            <w:r>
              <w:rPr>
                <w:rFonts w:ascii="Times New Roman" w:hAnsi="Times New Roman" w:cs="Times New Roman" w:eastAsia="Times New Roman"/>
                <w:b w:val="false"/>
                <w:sz w:val="26"/>
              </w:rPr>
              <w:t>Phí : 2.500.000 Đồng</w:t>
              <w:t xml:space="preserve"> (Mức phí từ ngày 01/01/2027 trở đi)</w:t>
            </w:r>
          </w:p>
        </w:tc>
        <w:tc>
          <w:p/>
          <w:p>
            <w:pPr>
              <w:spacing w:after="0" w:before="0" w:lineRule="auto" w:line="276"/>
              <w:jc w:val="left"/>
            </w:pPr>
            <w:r>
              <w:rPr>
                <w:rFonts w:ascii="Times New Roman" w:hAnsi="Times New Roman" w:cs="Times New Roman" w:eastAsia="Times New Roman"/>
                <w:b w:val="false"/>
                <w:sz w:val="26"/>
              </w:rPr>
              <w:t>kể từ ngày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Hồ sơ đề nghị cấp giấy chứng nhận lương y đối với đối tượng quy định tại Khoản 1 Điều 1 Thông tư số 02/2024/TT-BYT ngày 12 tháng 3 năm 2024.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chứng nhận lương y theo mẫu số 01 Phụ lục I ban hành kèm theo Thông tư số 02/2024/TT-BYT ngày 12 tháng 3 năm 2024.</w:t>
            </w:r>
          </w:p>
        </w:tc>
        <w:tc>
          <w:p/>
          <w:p>
            <w:pPr>
              <w:spacing w:after="0" w:before="0" w:lineRule="auto" w:line="276"/>
              <w:jc w:val="left"/>
            </w:pPr>
            <w:r>
              <w:rPr>
                <w:rFonts w:ascii="Times New Roman" w:hAnsi="Times New Roman" w:cs="Times New Roman" w:eastAsia="Times New Roman"/>
                <w:b w:val="false"/>
                <w:sz w:val="26"/>
              </w:rPr>
              <w:t>Mus01PhlcI.docx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pháp các chứng chỉ học phần theo quy định tại điểm a Khoản 1 Điều 2 Thông tư số 02/2024/TT-BYT ngày 12 tháng 3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hợp pháp bằng tốt nghiệp phổ thông trung học hoặc tương đương đối với người sinh từ ngày 01 tháng 01 năm 1960 trở về sau. d) 02 ảnh màu cỡ 4 x 6 cm, chụp trên nền trắng (trong thời gian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Hồ sơ đề nghị cấp giấy chứng nhận lương y đối với đối tượng quy định tại Khoản 2 Điều 1 Thông tư số 02/2024/TT-BYT ngày 12 tháng 3 năm 2024.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hợp pháp giấy chứng nhận lương y chuyên sâu cùng bảng điểm do Trung ương Hội Đông y Việt Nam cấp theo quy định tại Khoản 2 Điều 1 Thông tư số 02/2024/TT-BYT ngày 12 tháng 3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hợp pháp bằng tốt nghiệp phổ thông trung học hoặc tương đương đối với người sinh từ ngày 01 tháng 01 năm 1960 trở về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02 ảnh màu cỡ 4 x 6 cm, chụp trên nền trắng (trong thời gian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3. Hồ sơ đề nghị cấp giấy chứng nhận lương y đối với đối tượng quy định tại Khoản 3 Điều 1 Thông tư số 02/2024/TT-BYT ngày 12 tháng 3 năm 2024.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hợp pháp giấy chứng nhận có trình độ y sỹ cấp 2 do Ban Trị sự Trung ương Tịnh độ cư sỹ Phật hội Việt Nam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02 ảnh màu cỡ 4 x 6 cm, chụp trên nền trắng (trong thời gian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là lương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02/2024/TT-BYT</w:t>
            </w:r>
          </w:p>
        </w:tc>
        <w:tc>
          <w:p/>
          <w:p>
            <w:pPr>
              <w:spacing w:after="0" w:before="0" w:lineRule="auto" w:line="276"/>
              <w:jc w:val="left"/>
            </w:pPr>
            <w:r>
              <w:rPr>
                <w:rFonts w:ascii="Times New Roman" w:hAnsi="Times New Roman" w:cs="Times New Roman" w:eastAsia="Times New Roman"/>
                <w:b w:val="false"/>
                <w:sz w:val="26"/>
              </w:rPr>
              <w:t>Thông tư số 02/2024/TT-BYT ngày 12 tháng 3 năm 2024 của Bộ Y tế quy định cấp giấy chứng nhận lương y, giấy chứng nhận người có bài thuốc gia truyền, giấy chứng nhận người có phương pháp chữa bệnh gia truyền và kết hợp y học cổ truyền với y học hiện đại tại cơ sở khám bệnh, chữa bệnh</w:t>
            </w:r>
          </w:p>
        </w:tc>
        <w:tc>
          <w:p/>
          <w:p>
            <w:pPr>
              <w:spacing w:after="0" w:before="0" w:lineRule="auto" w:line="276"/>
              <w:jc w:val="left"/>
            </w:pPr>
            <w:r>
              <w:rPr>
                <w:rFonts w:ascii="Times New Roman" w:hAnsi="Times New Roman" w:cs="Times New Roman" w:eastAsia="Times New Roman"/>
                <w:b w:val="false"/>
                <w:sz w:val="26"/>
              </w:rPr>
              <w:t>12-03-2024</w:t>
            </w:r>
          </w:p>
        </w:tc>
        <w:tc>
          <w:p/>
        </w:tc>
      </w:tr>
      <w:tr>
        <w:tc>
          <w:p/>
          <w:p>
            <w:pPr>
              <w:spacing w:after="0" w:before="0" w:lineRule="auto" w:line="276"/>
              <w:jc w:val="left"/>
            </w:pPr>
            <w:r>
              <w:rPr>
                <w:rFonts w:ascii="Times New Roman" w:hAnsi="Times New Roman" w:cs="Times New Roman" w:eastAsia="Times New Roman"/>
                <w:b w:val="false"/>
                <w:sz w:val="26"/>
              </w:rPr>
              <w:t>15/2025/TT-BYT</w:t>
            </w:r>
          </w:p>
        </w:tc>
        <w:tc>
          <w:p/>
          <w:p>
            <w:pPr>
              <w:spacing w:after="0" w:before="0" w:lineRule="auto" w:line="276"/>
              <w:jc w:val="left"/>
            </w:pPr>
            <w:r>
              <w:rPr>
                <w:rFonts w:ascii="Times New Roman" w:hAnsi="Times New Roman" w:cs="Times New Roman" w:eastAsia="Times New Roman"/>
                <w:b w:val="false"/>
                <w:sz w:val="26"/>
              </w:rPr>
              <w:t>Thông tư quy định về phân cấp, phân định thẩm quyền của chính quyền địa phương 02 cấp trong lĩnh vực y, dược cổ truyền</w:t>
            </w:r>
          </w:p>
        </w:tc>
        <w:tc>
          <w:p/>
          <w:p>
            <w:pPr>
              <w:spacing w:after="0" w:before="0" w:lineRule="auto" w:line="276"/>
              <w:jc w:val="left"/>
            </w:pPr>
            <w:r>
              <w:rPr>
                <w:rFonts w:ascii="Times New Roman" w:hAnsi="Times New Roman" w:cs="Times New Roman" w:eastAsia="Times New Roman"/>
                <w:b w:val="false"/>
                <w:sz w:val="26"/>
              </w:rPr>
              <w:t>14-06-2025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thủ tục hành chính cấp giấy chứng nhận lương y như sau:
1. Điều kiện cấp giấy chứng nhận lương y đối với đối tượng quy định tại Khoản 1 Điều 1 Thông tư số 02/2024/TT-BYT ngày 12 tháng 3 năm 2024:
a) Có đủ 10 chứng chỉ học phần do cơ sở đào tạo y, dược hoặc Trung ương Hội Đông y Việt Nam hoặc các cơ sở khám bệnh, chữa bệnh y học cổ truyền (Viện, bệnh viện y học cổ truyền) phối hợp với trường trung cấp hoặc cao đẳng y tế, Hội Đông y tỉnh, thành phố trực thuộc Trung ương (sau đây gọi tắt là Hội Đông y tỉnh) tổ chức bồi dưỡng chuẩn hóa và cấp trước ngày 30 tháng 6 năm 2004. Các chứng chỉ học phần bao gồm:
- Lý luận cơ bản về y học cổ truyền;
- Chứng chỉ về bệnh học và điều trị các bệnh nội khoa;
- Chứng chỉ về bệnh học và điều trị các bệnh ngoại khoa;
- Chứng chỉ về bệnh học và điều trị các bệnh nhi khoa;
- Chứng chỉ về bệnh học và điều trị các bệnh phụ khoa;
- Chứng chỉ về bệnh học và điều trị các bệnh ngũ quan;
- Chứng chỉ điều trị bằng những phương pháp không dùng thuốc;
- Chứng chỉ dược liệu học;
- Chứng chỉ về bào chế;
- Chứng chỉ về các bài thuốc cổ phương.
b) Trình độ học vấn: Người sinh trước ngày 01 tháng 01 năm 1960 và dân tộc ít người phải đọc thông viết thạo chữ Quốc ngữ; người sinh từ ngày 01 tháng 01 năm 1960 trở về sau phải có bằng tốt nghiệp phổ thông trung học hoặc tương đương.
c) Có kết quả đạt tại kỳ kiểm tra sát hạch theo quy định tại Thông tư số 02/2024/TT-BYT ngày 12 tháng 3 năm 2024.
2. Điều kiện cấp giấy chứng nhận lương y đối với đối tượng quy định tại Khoản 2 Điều 1 Thông tư số 02/2024/TT-BYT ngày 12 tháng 3 năm 2024:
a) Có giấy chứng nhận lương y chuyên sâu do Trung ương Hội Đông y Việt Nam cấp trước ngày 30 tháng 6 năm 2004.
b) Đáp ứng đủ điều kiện quy định tại điểm b, c khoản 1 Điều 2 Thông tư số 02/2024/TT-BYT ngày 12 tháng 3 năm 2024.
3. Điều kiện cấp giấy chứng nhận lương y đối với đối tượng quy định tại Khoản 3 Điều 1 Thông tư này:
a) Có giấy chứng nhận đạt trình độ y sỹ cấp 2 trở lên (theo phân loại của Tịnh độ cư sỹ Phật hội Việt Nam) do Ban Trị sự Trung ương Tịnh độ cư sỹ Phật hội Việt Nam cấp trước ngày 30 tháng 6 năm 2004;
b) Đáp ứng đủ điều kiện quy định tại điểm b, c khoản 1 Điều 2 Thông tư số 02/2024/TT-BYT ngày 12 tháng 3 năm 2024.</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2026-05-22T16:10:31Z</dcterms:created>
  <dc:creator>Apache POI</dc:creator>
</cp:coreProperties>
</file>