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1.012386.000.00.00.H18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danh hiệu "Lao động tiên tiến"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Bộ phận Tiếp nhận và Trả kết quả của UBND cấp huyện tiếp nhận đề nghị khen thưởng của các đơn vị thuộc huyện chuyển phòng Nội vụ thẩm định.</w:t>
      </w:r>
    </w:p>
    <w:p>
      <w:pPr>
        <w:spacing w:after="0" w:before="0" w:lineRule="auto" w:line="276"/>
        <w:jc w:val="both"/>
      </w:pPr>
      <w:r>
        <w:rPr>
          <w:rFonts w:ascii="Times New Roman" w:hAnsi="Times New Roman" w:cs="Times New Roman" w:eastAsia="Times New Roman"/>
          <w:b w:val="false"/>
          <w:sz w:val="26"/>
        </w:rPr>
        <w:t>Bước 2. Thẩm định hồ sơ, xin ý kiến các cơ quan liên quan, báo cáo Hội đồng thi đua khen thưởng cùng cấp, tổng hợp trình Chủ tịch UBND huyện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huyện, Phòng Nội vụ thông báo Quyết định,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4. Các trường hợp không được khen thưởng (không đúng đối tượng, không đủ tiêu chuẩn, không đủ hồ sơ hoặc vi phạm pháp luật), Phòng Nội vụ thông báo đến các đơn vị trình khen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Số lượng hồ sơ: Số lượng hồ sơ đề nghị xét tặng Lao động tiến tiến thực hiện theo quy định của bộ, ban, ngành,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Thành phần hồ sơ: - Văn bản đề nghị kèm theo danh sách cá nhân được đề nghị tặng danh hiệu Lao động tiên tiến của cấp trình khen; - Báo cáo thành tích của cá nhân;       - Biên bản bình xét thi đua.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huyện tặng thưởng Danh hiệu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02/2017/TT-VPCP</w:t>
            </w:r>
          </w:p>
        </w:tc>
        <w:tc>
          <w:p/>
          <w:p>
            <w:pPr>
              <w:spacing w:after="0" w:before="0" w:lineRule="auto" w:line="276"/>
              <w:jc w:val="left"/>
            </w:pPr>
            <w:r>
              <w:rPr>
                <w:rFonts w:ascii="Times New Roman" w:hAnsi="Times New Roman" w:cs="Times New Roman" w:eastAsia="Times New Roman"/>
                <w:b w:val="false"/>
                <w:sz w:val="26"/>
              </w:rPr>
              <w:t>Thông tư số 02/2017/TT-VPCP</w:t>
            </w:r>
          </w:p>
        </w:tc>
        <w:tc>
          <w:p/>
          <w:p>
            <w:pPr>
              <w:spacing w:after="0" w:before="0" w:lineRule="auto" w:line="276"/>
              <w:jc w:val="left"/>
            </w:pPr>
            <w:r>
              <w:rPr>
                <w:rFonts w:ascii="Times New Roman" w:hAnsi="Times New Roman" w:cs="Times New Roman" w:eastAsia="Times New Roman"/>
                <w:b w:val="false"/>
                <w:sz w:val="26"/>
              </w:rPr>
              <w:t>31-10-2017</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Nghị định số 98/2023/NĐ-CP</w:t>
            </w:r>
          </w:p>
        </w:tc>
        <w:tc>
          <w:p/>
          <w:p>
            <w:pPr>
              <w:spacing w:after="0" w:before="0" w:lineRule="auto" w:line="276"/>
              <w:jc w:val="left"/>
            </w:pPr>
            <w:r>
              <w:rPr>
                <w:rFonts w:ascii="Times New Roman" w:hAnsi="Times New Roman" w:cs="Times New Roman" w:eastAsia="Times New Roman"/>
                <w:b w:val="false"/>
                <w:sz w:val="26"/>
              </w:rPr>
              <w:t>Nghị định số 98/2023/NĐ-CP Quy định chi tiết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06/2022/QH15</w:t>
            </w:r>
          </w:p>
        </w:tc>
        <w:tc>
          <w:p/>
          <w:p>
            <w:pPr>
              <w:spacing w:after="0" w:before="0" w:lineRule="auto" w:line="276"/>
              <w:jc w:val="left"/>
            </w:pPr>
            <w:r>
              <w:rPr>
                <w:rFonts w:ascii="Times New Roman" w:hAnsi="Times New Roman" w:cs="Times New Roman" w:eastAsia="Times New Roman"/>
                <w:b w:val="false"/>
                <w:sz w:val="26"/>
              </w:rPr>
              <w:t>Luật Thi đua, khen thưởng</w:t>
            </w:r>
          </w:p>
        </w:tc>
        <w:tc>
          <w:p/>
          <w:p>
            <w:pPr>
              <w:spacing w:after="0" w:before="0" w:lineRule="auto" w:line="276"/>
              <w:jc w:val="left"/>
            </w:pPr>
            <w:r>
              <w:rPr>
                <w:rFonts w:ascii="Times New Roman" w:hAnsi="Times New Roman" w:cs="Times New Roman" w:eastAsia="Times New Roman"/>
                <w:b w:val="false"/>
                <w:sz w:val="26"/>
              </w:rPr>
              <w:t>15-06-2022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Danh hiệu “Lao động tiên tiến” để tặng cho cán bộ, công chức, viên chức, người lao động đạt các tiêu chuẩn sau đây:
a) Hoàn thành tốt nhiệm vụ trở lên;
b) Có tinh thần tự lực, tự cường, đoàn kết, tương trợ, tích cực tham gia phong trào thi đua.
2. Danh hiệu “Chiến sĩ tiên tiến” để tặng cho quân nhân, công nhân, công chức, viên chức quốc phòng thuộc Quân đội nhân dân; dân quân thường trực, dân quân tự vệ cơ động; sĩ quan, hạ sĩ quan, chiến sĩ, công nhân làm việc trong cơ quan, đơn vị thuộc Công an nhân dân đạt các tiêu chuẩn quy định tại khoản 1 Điều này.
3. Danh hiệu “Lao động tiên tiến” để tặng cho công nhân, nông dân, người lao động không thuộc đối tượng quy định tại khoản 1 và khoản 2 Điều này và đạt các tiêu chuẩn sau đây:
a) Lao động, sản xuất có hiệu quả, tích cực tham gia phong trào thi đua và hoạt động xã hội;
b) Gương mẫu chấp hành tốt chủ trương của Đảng, chính sách, pháp luật của Nhà nước; có đạo đức, lối sống lành mạnh, đoàn kết, tương trợ, giúp đỡ mọi người trong cộng đồng.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2026-05-20T15:51:38Z</dcterms:created>
  <dc:creator>Apache POI</dc:creator>
</cp:coreProperties>
</file>