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3740/QĐ-BTC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nghiệp vụ chuyên môn về đấu thầu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có nhu cầu cấp chứng chỉ nghiệp vụ chuyên môn về đấu thầu thực hiện nộp hồ sơ trên Cổng Dịch vụ công quốc gia và hồ sơ được số hóa dưới dạng webform trên Hệ thống quản lý cấp chứng chỉ nghiệp vụ chuyên môn về đấu thầu tại địa chỉ https://chungchidauthau.mof.gov.vn (sau đây gọi tắt là Hệ thống)</w:t>
      </w:r>
    </w:p>
    <w:p>
      <w:pPr>
        <w:spacing w:after="0" w:before="0" w:lineRule="auto" w:line="276"/>
        <w:jc w:val="both"/>
      </w:pPr>
      <w:r>
        <w:rPr>
          <w:rFonts w:ascii="Times New Roman" w:hAnsi="Times New Roman" w:cs="Times New Roman" w:eastAsia="Times New Roman"/>
          <w:b w:val="false"/>
          <w:sz w:val="26"/>
        </w:rPr>
        <w:t>Bước 2: Chứng chỉ điện tử được gửi về tài khoản cá nhân đăng ký trên Hệ thống.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(đối với các trường hợp: chứng chỉ nghiệp vụ chuyên môn về đấu thầu đã được cấp còn thời hạn nhưng do thay đổi thông tin trên chứng chỉ; cá nhân thực hiện đăng ký cấp chứng chỉ thành công trên Hệ thống trong thời hạn tối thiểu 15 ngày trước ngày chứng chỉ nghiệp vụ chuyên môn về đấu thầu hết hiệu lực; chứng chỉ hành nghề hoạt động đấu thầu đã được cấp còn thời hạn nhưng bị mất hoặc hư hỏng (Mức thu này chưa bao gồm thuế giá trị gia tăng phải nộp theo quy định của Luật Thuế giá trị gia tăng và các văn bản hướng dẫn thực hiện Luật này))</w:t>
            </w:r>
          </w:p>
          <w:p>
            <w:pPr>
              <w:spacing w:after="0" w:before="0" w:lineRule="auto" w:line="276"/>
              <w:jc w:val="left"/>
            </w:pPr>
            <w:r>
              <w:rPr>
                <w:rFonts w:ascii="Times New Roman" w:hAnsi="Times New Roman" w:cs="Times New Roman" w:eastAsia="Times New Roman"/>
                <w:b w:val="false"/>
                <w:sz w:val="26"/>
              </w:rPr>
              <w:t>Lệ phí : 0 Đồng</w:t>
              <w:t xml:space="preserve"> (đối với cá nhân đạt kỳ thi nghiệm vụ chuyên môn về đấu thầu)</w:t>
            </w:r>
          </w:p>
        </w:tc>
        <w:tc>
          <w:p/>
          <w:p>
            <w:pPr>
              <w:spacing w:after="0" w:before="0" w:lineRule="auto" w:line="276"/>
              <w:jc w:val="left"/>
            </w:pPr>
            <w:r>
              <w:rPr>
                <w:rFonts w:ascii="Times New Roman" w:hAnsi="Times New Roman" w:cs="Times New Roman" w:eastAsia="Times New Roman"/>
                <w:b w:val="false"/>
                <w:sz w:val="26"/>
              </w:rPr>
              <w:t>Nộp Hồ sơ trực tuyến trên Hệ thống quản lý cấp chứng chỉ nghiệp vụ chuyên môn về đấu thầu/Cổng Dịch vụ công theo Hướng dẫn sử dụng.
Trong thời hạn 15 (mười lăm) ngày làm việc kể từ ngày ban hành quyết định cấp chứng chỉ nghiệp vụ chuyên môn về đấu thầu (đối với cá nhân đạt kỳ thi nghiệm vụ chuyên môn về đấu thầu), 07 (bảy) ngày làm việc kể từ ngày ban hành quyết định cấp chứng chỉ (đối với các trường hợp: chứng chỉ nghiệp vụ chuyên môn về đấu thầu đã được cấp còn thời hạn nhưng do thay đổi thông tin trên chứng chỉ; cá nhân thực hiện đăng ký cấp chứng chỉ thành công trên Hệ thống trong thời hạn tối thiểu 15 ngày trước ngày chứng chỉ nghiệp vụ chuyên môn về đấu thầu hết hiệu lực; chứng chỉ hành nghề hoạt động đấu thầu đã được cấp còn thời hạn nhưng bị mất hoặc hư hỏng)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được số hóa dưới dạng webform trên Hệ thống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đấu thầu - Bộ Tài chính, 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https://chungchidauthau.mof.gov.vn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nghiệp vụ chuyên môn về đấu thầu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64/2020/QH14</w:t>
            </w:r>
          </w:p>
        </w:tc>
        <w:tc>
          <w:p/>
          <w:p>
            <w:pPr>
              <w:spacing w:after="0" w:before="0" w:lineRule="auto" w:line="276"/>
              <w:jc w:val="left"/>
            </w:pPr>
            <w:r>
              <w:rPr>
                <w:rFonts w:ascii="Times New Roman" w:hAnsi="Times New Roman" w:cs="Times New Roman" w:eastAsia="Times New Roman"/>
                <w:b w:val="false"/>
                <w:sz w:val="26"/>
              </w:rPr>
              <w:t>Luật Đầu tư theo phương thức đối tác công tư</w:t>
            </w:r>
          </w:p>
        </w:tc>
        <w:tc>
          <w:p/>
          <w:p>
            <w:pPr>
              <w:spacing w:after="0" w:before="0" w:lineRule="auto" w:line="276"/>
              <w:jc w:val="left"/>
            </w:pPr>
            <w:r>
              <w:rPr>
                <w:rFonts w:ascii="Times New Roman" w:hAnsi="Times New Roman" w:cs="Times New Roman" w:eastAsia="Times New Roman"/>
                <w:b w:val="false"/>
                <w:sz w:val="26"/>
              </w:rPr>
              <w:t>18-06-2020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02/2024/TT-BKHĐT</w:t>
            </w:r>
          </w:p>
        </w:tc>
        <w:tc>
          <w:p/>
          <w:p>
            <w:pPr>
              <w:spacing w:after="0" w:before="0" w:lineRule="auto" w:line="276"/>
              <w:jc w:val="left"/>
            </w:pPr>
            <w:r>
              <w:rPr>
                <w:rFonts w:ascii="Times New Roman" w:hAnsi="Times New Roman" w:cs="Times New Roman" w:eastAsia="Times New Roman"/>
                <w:b w:val="false"/>
                <w:sz w:val="26"/>
              </w:rPr>
              <w:t>Thông tư số 02/2024/TT-BKHĐT của Bộ Kế hoạch và Đầu tư: Quy định hoạt động đào tạo, bồi dưỡng kiến thức và thi, cấp, thu hồi chứng chỉ nghiệp vụ chuyên môn về đấu thầu</w:t>
            </w:r>
          </w:p>
        </w:tc>
        <w:tc>
          <w:p/>
          <w:p>
            <w:pPr>
              <w:spacing w:after="0" w:before="0" w:lineRule="auto" w:line="276"/>
              <w:jc w:val="left"/>
            </w:pPr>
            <w:r>
              <w:rPr>
                <w:rFonts w:ascii="Times New Roman" w:hAnsi="Times New Roman" w:cs="Times New Roman" w:eastAsia="Times New Roman"/>
                <w:b w:val="false"/>
                <w:sz w:val="26"/>
              </w:rPr>
              <w:t>06-03-2024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115/2024/NĐ-CP</w:t>
            </w:r>
          </w:p>
        </w:tc>
        <w:tc>
          <w:p/>
          <w:p>
            <w:pPr>
              <w:spacing w:after="0" w:before="0" w:lineRule="auto" w:line="276"/>
              <w:jc w:val="left"/>
            </w:pPr>
            <w:r>
              <w:rPr>
                <w:rFonts w:ascii="Times New Roman" w:hAnsi="Times New Roman" w:cs="Times New Roman" w:eastAsia="Times New Roman"/>
                <w:b w:val="false"/>
                <w:sz w:val="26"/>
              </w:rPr>
              <w:t>Nghị định số 115/2024/NĐ-CP của Chính phủ: Quy định chi tiết một số điều và biện pháp thi hành Luật Đấu thầu về lựa chọn nhà đầu tư thực hiện dự án đầu tư có sử dụng đất</w:t>
            </w:r>
          </w:p>
        </w:tc>
        <w:tc>
          <w:p/>
          <w:p>
            <w:pPr>
              <w:spacing w:after="0" w:before="0" w:lineRule="auto" w:line="276"/>
              <w:jc w:val="left"/>
            </w:pPr>
            <w:r>
              <w:rPr>
                <w:rFonts w:ascii="Times New Roman" w:hAnsi="Times New Roman" w:cs="Times New Roman" w:eastAsia="Times New Roman"/>
                <w:b w:val="false"/>
                <w:sz w:val="26"/>
              </w:rPr>
              <w:t>16-09-2024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23/2024/NĐ-CP</w:t>
            </w:r>
          </w:p>
        </w:tc>
        <w:tc>
          <w:p/>
          <w:p>
            <w:pPr>
              <w:spacing w:after="0" w:before="0" w:lineRule="auto" w:line="276"/>
              <w:jc w:val="left"/>
            </w:pPr>
            <w:r>
              <w:rPr>
                <w:rFonts w:ascii="Times New Roman" w:hAnsi="Times New Roman" w:cs="Times New Roman" w:eastAsia="Times New Roman"/>
                <w:b w:val="false"/>
                <w:sz w:val="26"/>
              </w:rPr>
              <w:t>Nghị định số 23/2024/NĐ-CP của Chính phủ: Quy định chi tiết một số điều và biện pháp thi hành Luật Đấu thầu về lựa chọn nhà đầu tư thực hiện dự án thuộc trường hợp phải tổ chức đấu thầu theo quy định của pháp luật quản lý ngành, lĩnh vực</w:t>
            </w:r>
          </w:p>
        </w:tc>
        <w:tc>
          <w:p/>
          <w:p>
            <w:pPr>
              <w:spacing w:after="0" w:before="0" w:lineRule="auto" w:line="276"/>
              <w:jc w:val="left"/>
            </w:pPr>
            <w:r>
              <w:rPr>
                <w:rFonts w:ascii="Times New Roman" w:hAnsi="Times New Roman" w:cs="Times New Roman" w:eastAsia="Times New Roman"/>
                <w:b w:val="false"/>
                <w:sz w:val="26"/>
              </w:rPr>
              <w:t>01-09-2024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22/2023/QH15</w:t>
            </w:r>
          </w:p>
        </w:tc>
        <w:tc>
          <w:p/>
          <w:p>
            <w:pPr>
              <w:spacing w:after="0" w:before="0" w:lineRule="auto" w:line="276"/>
              <w:jc w:val="left"/>
            </w:pPr>
            <w:r>
              <w:rPr>
                <w:rFonts w:ascii="Times New Roman" w:hAnsi="Times New Roman" w:cs="Times New Roman" w:eastAsia="Times New Roman"/>
                <w:b w:val="false"/>
                <w:sz w:val="26"/>
              </w:rPr>
              <w:t>Luật Đấu thầu ngày 23/6/2023</w:t>
            </w:r>
          </w:p>
        </w:tc>
        <w:tc>
          <w:p/>
          <w:p>
            <w:pPr>
              <w:spacing w:after="0" w:before="0" w:lineRule="auto" w:line="276"/>
              <w:jc w:val="left"/>
            </w:pPr>
            <w:r>
              <w:rPr>
                <w:rFonts w:ascii="Times New Roman" w:hAnsi="Times New Roman" w:cs="Times New Roman" w:eastAsia="Times New Roman"/>
                <w:b w:val="false"/>
                <w:sz w:val="26"/>
              </w:rPr>
              <w:t>23-06-2023</w:t>
            </w:r>
          </w:p>
        </w:tc>
        <w:tc>
          <w:p/>
        </w:tc>
      </w:tr>
      <w:tr>
        <w:tc>
          <w:p/>
          <w:p>
            <w:pPr>
              <w:spacing w:after="0" w:before="0" w:lineRule="auto" w:line="276"/>
              <w:jc w:val="left"/>
            </w:pPr>
            <w:r>
              <w:rPr>
                <w:rFonts w:ascii="Times New Roman" w:hAnsi="Times New Roman" w:cs="Times New Roman" w:eastAsia="Times New Roman"/>
                <w:b w:val="false"/>
                <w:sz w:val="26"/>
              </w:rPr>
              <w:t>57/2024/QH15</w:t>
            </w:r>
          </w:p>
        </w:tc>
        <w:tc>
          <w:p/>
          <w:p>
            <w:pPr>
              <w:spacing w:after="0" w:before="0" w:lineRule="auto" w:line="276"/>
              <w:jc w:val="left"/>
            </w:pPr>
            <w:r>
              <w:rPr>
                <w:rFonts w:ascii="Times New Roman" w:hAnsi="Times New Roman" w:cs="Times New Roman" w:eastAsia="Times New Roman"/>
                <w:b w:val="false"/>
                <w:sz w:val="26"/>
              </w:rPr>
              <w:t>Luật số 57/2024/QH15 của Quốc hội: Luật sửa đổi, bổ sung một số điều của Luật Quy hoạch, Luật Đầu tư, Luật Đầu tư theo phương thức đối tác công tư và Luật Đấu thầu</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90/2025/QH15</w:t>
            </w:r>
          </w:p>
        </w:tc>
        <w:tc>
          <w:p/>
          <w:p>
            <w:pPr>
              <w:spacing w:after="0" w:before="0" w:lineRule="auto" w:line="276"/>
              <w:jc w:val="left"/>
            </w:pPr>
            <w:r>
              <w:rPr>
                <w:rFonts w:ascii="Times New Roman" w:hAnsi="Times New Roman" w:cs="Times New Roman" w:eastAsia="Times New Roman"/>
                <w:b w:val="false"/>
                <w:sz w:val="26"/>
              </w:rPr>
              <w:t>Trang chủ Luật số 90/2025/QH15 của Quốc hội: Luật sửa đổi, bổ sung một số điều của Luật Đấu thầu, Luật Đầu tư theo phương thức đối tác công tư, Luật Hải quan, Luật Thuế giá trị gia tăng, Luật Thuế xuất khẩu, thuế nhập khẩu, Luật Đầu tư, Luật Đầu tư công, Luật Quản lý, sử dụng tài sản công</w:t>
            </w:r>
          </w:p>
        </w:tc>
        <w:tc>
          <w:p/>
          <w:p>
            <w:pPr>
              <w:spacing w:after="0" w:before="0" w:lineRule="auto" w:line="276"/>
              <w:jc w:val="left"/>
            </w:pPr>
            <w:r>
              <w:rPr>
                <w:rFonts w:ascii="Times New Roman" w:hAnsi="Times New Roman" w:cs="Times New Roman" w:eastAsia="Times New Roman"/>
                <w:b w:val="false"/>
                <w:sz w:val="26"/>
              </w:rPr>
              <w:t>25-06-2025</w:t>
            </w:r>
          </w:p>
        </w:tc>
        <w:tc>
          <w:p/>
        </w:tc>
      </w:tr>
      <w:tr>
        <w:tc>
          <w:p/>
          <w:p>
            <w:pPr>
              <w:spacing w:after="0" w:before="0" w:lineRule="auto" w:line="276"/>
              <w:jc w:val="left"/>
            </w:pPr>
            <w:r>
              <w:rPr>
                <w:rFonts w:ascii="Times New Roman" w:hAnsi="Times New Roman" w:cs="Times New Roman" w:eastAsia="Times New Roman"/>
                <w:b w:val="false"/>
                <w:sz w:val="26"/>
              </w:rPr>
              <w:t>03/2022/QH15</w:t>
            </w:r>
          </w:p>
        </w:tc>
        <w:tc>
          <w:p/>
          <w:p>
            <w:pPr>
              <w:spacing w:after="0" w:before="0" w:lineRule="auto" w:line="276"/>
              <w:jc w:val="left"/>
            </w:pPr>
            <w:r>
              <w:rPr>
                <w:rFonts w:ascii="Times New Roman" w:hAnsi="Times New Roman" w:cs="Times New Roman" w:eastAsia="Times New Roman"/>
                <w:b w:val="false"/>
                <w:sz w:val="26"/>
              </w:rPr>
              <w:t>Luật số 03/2022/QH15 của Quốc hội: Luật sửa đổi, bổ sung một số điều của Luật đầu tư công, Luật đầu tư theo phương thức đối tác công tư, Luật Đầu tư, Luật nhà ở, Luật đấu thầu, Luật điện lực, Luật doanh nghiệp, Luật thuế tiêu thụ đặc biệt và Luật thi hành án dân sự</w:t>
            </w:r>
          </w:p>
        </w:tc>
        <w:tc>
          <w:p/>
          <w:p>
            <w:pPr>
              <w:spacing w:after="0" w:before="0" w:lineRule="auto" w:line="276"/>
              <w:jc w:val="left"/>
            </w:pPr>
            <w:r>
              <w:rPr>
                <w:rFonts w:ascii="Times New Roman" w:hAnsi="Times New Roman" w:cs="Times New Roman" w:eastAsia="Times New Roman"/>
                <w:b w:val="false"/>
                <w:sz w:val="26"/>
              </w:rPr>
              <w:t>11-01-2022</w:t>
            </w:r>
          </w:p>
        </w:tc>
        <w:tc>
          <w:p/>
        </w:tc>
      </w:tr>
      <w:tr>
        <w:tc>
          <w:p/>
          <w:p>
            <w:pPr>
              <w:spacing w:after="0" w:before="0" w:lineRule="auto" w:line="276"/>
              <w:jc w:val="left"/>
            </w:pPr>
            <w:r>
              <w:rPr>
                <w:rFonts w:ascii="Times New Roman" w:hAnsi="Times New Roman" w:cs="Times New Roman" w:eastAsia="Times New Roman"/>
                <w:b w:val="false"/>
                <w:sz w:val="26"/>
              </w:rPr>
              <w:t>214/2025/NĐ-CP</w:t>
            </w:r>
          </w:p>
        </w:tc>
        <w:tc>
          <w:p/>
          <w:p>
            <w:pPr>
              <w:spacing w:after="0" w:before="0" w:lineRule="auto" w:line="276"/>
              <w:jc w:val="left"/>
            </w:pPr>
            <w:r>
              <w:rPr>
                <w:rFonts w:ascii="Times New Roman" w:hAnsi="Times New Roman" w:cs="Times New Roman" w:eastAsia="Times New Roman"/>
                <w:b w:val="false"/>
                <w:sz w:val="26"/>
              </w:rPr>
              <w:t>Nghị định số 214/2025/NĐ-CP của Chính phủ: Quy định chi tiết một số điều và biện pháp thi hành Luật Đấu thầu về lựa chọn nhà thầu</w:t>
            </w:r>
          </w:p>
        </w:tc>
        <w:tc>
          <w:p/>
          <w:p>
            <w:pPr>
              <w:spacing w:after="0" w:before="0" w:lineRule="auto" w:line="276"/>
              <w:jc w:val="left"/>
            </w:pPr>
            <w:r>
              <w:rPr>
                <w:rFonts w:ascii="Times New Roman" w:hAnsi="Times New Roman" w:cs="Times New Roman" w:eastAsia="Times New Roman"/>
                <w:b w:val="false"/>
                <w:sz w:val="26"/>
              </w:rPr>
              <w:t>04-08-2025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243/2025/NĐ-CP</w:t>
            </w:r>
          </w:p>
        </w:tc>
        <w:tc>
          <w:p/>
          <w:p>
            <w:pPr>
              <w:spacing w:after="0" w:before="0" w:lineRule="auto" w:line="276"/>
              <w:jc w:val="left"/>
            </w:pPr>
            <w:r>
              <w:rPr>
                <w:rFonts w:ascii="Times New Roman" w:hAnsi="Times New Roman" w:cs="Times New Roman" w:eastAsia="Times New Roman"/>
                <w:b w:val="false"/>
                <w:sz w:val="26"/>
              </w:rPr>
              <w:t>Nghị định số 243/2025/NĐ-CP của Chính phủ: Quy định chi tiết một số điều của Luật Đầu tư theo phương thức đối tác công tư</w:t>
            </w:r>
          </w:p>
        </w:tc>
        <w:tc>
          <w:p/>
          <w:p>
            <w:pPr>
              <w:spacing w:after="0" w:before="0" w:lineRule="auto" w:line="276"/>
              <w:jc w:val="left"/>
            </w:pPr>
            <w:r>
              <w:rPr>
                <w:rFonts w:ascii="Times New Roman" w:hAnsi="Times New Roman" w:cs="Times New Roman" w:eastAsia="Times New Roman"/>
                <w:b w:val="false"/>
                <w:sz w:val="26"/>
              </w:rPr>
              <w:t>11-09-2025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chứng chỉ, nghiệp vụ, chuyên môn, về đấu thầu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2026-05-22T19:01:00Z</dcterms:created>
  <dc:creator>Apache POI</dc:creator>
</cp:coreProperties>
</file>