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1.012687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phân khu chức năng của khu rừng đặc dụng thuộc địa phương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tiếp nhận hồ sơ
Chủ rừng nộp 01 bộ hồ sơ đến Sở Nông nghiệp và Môi trường (đối với khu rừng đặc dụng thuộc địa phương quản lý) bằng cách thức trực tiếp hoặc qua dịch vụ bưu chính hoặc trực tuyến tại Cổng Dịch vụ công Quốc gia;
Bộ phận tiếp nhận hồ sơ kiểm tra tính chính xác, đầy đủ của hồ sơ, trả lời ngay tính hợp lệ của hồ sơ đối với hồ sơ nộp trực tiếp, trong thời hạn 01 ngày làm việc đối với hồ sơ nộp qua dịch vụ bưu chính hoặc trực tuyến tại Cổng Dịch vụ công Quốc gia; trường hợp hồ sơ không hợp lệ thì thông báo bằng văn bản và nêu rõ lý do;</w:t>
      </w:r>
    </w:p>
    <w:p>
      <w:pPr>
        <w:spacing w:after="0" w:before="0" w:lineRule="auto" w:line="276"/>
        <w:jc w:val="both"/>
      </w:pPr>
      <w:r>
        <w:rPr>
          <w:rFonts w:ascii="Times New Roman" w:hAnsi="Times New Roman" w:cs="Times New Roman" w:eastAsia="Times New Roman"/>
          <w:b w:val="false"/>
          <w:sz w:val="26"/>
        </w:rPr>
        <w:t>b) Bước 2: Thẩm định hồ sơ
Trong thời hạn 05 ngày làm việc kể từ ngày nhận được hồ sơ hợp lệ, Sở Nông nghiệp và Môi trường gửi hồ sơ đề nghị điều chỉnh phân khu chức năng của khu rừng đặc dụng đến Hội đồng thẩm định do Chủ tịch Ủy ban nhân dân cấp tỉnh thành lập (đối với khu rừng đặc dụng thuộc địa phương quản lý);
Trong thời hạn 05 ngày làm việc kể từ ngày nhận đủ hồ sơ, Hội đồng thẩm định hoàn thành báo cáo thẩm định, chuyển cho Sở Nông nghiệp và Môi trường; trường hợp thẩm định không đạt thì thông báo bằng văn bản và nêu rõ lý do;
Trong thời hạn 05 ngày làm việc kể từ ngày nhận được báo cáo thẩm định phương án điều chỉnh phân khu chức năng của khu rừng đặc dụng, Sở Nông nghiệp và Môi trường hoàn thiện hồ sơ, trình Chủ tịch Ủy ban nhân dân cấp tỉnh theo Mẫu số 11 Phụ lục IB ban hành kèm theo Nghị định số 42/2026/NĐ-CP.</w:t>
      </w:r>
    </w:p>
    <w:p>
      <w:pPr>
        <w:spacing w:after="0" w:before="0" w:lineRule="auto" w:line="276"/>
        <w:jc w:val="both"/>
      </w:pPr>
      <w:r>
        <w:rPr>
          <w:rFonts w:ascii="Times New Roman" w:hAnsi="Times New Roman" w:cs="Times New Roman" w:eastAsia="Times New Roman"/>
          <w:b w:val="false"/>
          <w:sz w:val="26"/>
        </w:rPr>
        <w:t>c) Bước 3: Ban hành quyết định
Trong thời hạn 03 ngày làm việc kể từ ngày nhận được đủ hồ sơ trình của Sở Nông nghiệp và Môi trường, Chủ tịch Ủy ban nhân dân cấp tỉnh xem xét quyết định điều chỉnh phân khu chức năng của khu rừng đặc dụng theo Mẫu số 12 Phụ lục IB ban hành kèm theo Nghị định số 42/2026/NĐ-CP, chuyển bộ phận tiếp nhận hồ sơ để thông báo cho chủ rừng.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18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18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18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Tờ trình điều chỉnh phân khu chức năng của chủ rừng;</w:t>
            </w:r>
          </w:p>
        </w:tc>
        <w:tc>
          <w:p/>
          <w:p>
            <w:pPr>
              <w:spacing w:after="0" w:before="0" w:lineRule="auto" w:line="276"/>
              <w:jc w:val="left"/>
            </w:pPr>
            <w:r>
              <w:rPr>
                <w:rFonts w:ascii="Times New Roman" w:hAnsi="Times New Roman" w:cs="Times New Roman" w:eastAsia="Times New Roman"/>
                <w:b w:val="false"/>
                <w:sz w:val="26"/>
              </w:rPr>
              <w:t>Mu09.docx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điều chỉnh phân khu chức năng của khu rừng;</w:t>
            </w:r>
          </w:p>
        </w:tc>
        <w:tc>
          <w:p/>
          <w:p>
            <w:pPr>
              <w:spacing w:after="0" w:before="0" w:lineRule="auto" w:line="276"/>
              <w:jc w:val="left"/>
            </w:pPr>
            <w:r>
              <w:rPr>
                <w:rFonts w:ascii="Times New Roman" w:hAnsi="Times New Roman" w:cs="Times New Roman" w:eastAsia="Times New Roman"/>
                <w:b w:val="false"/>
                <w:sz w:val="26"/>
              </w:rPr>
              <w:t>Mus10.docx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điều chỉnh phân khu chức năng của khu rừng đặc dụng.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156/2018/NĐ-CP</w:t>
            </w:r>
          </w:p>
        </w:tc>
        <w:tc>
          <w:p/>
          <w:p>
            <w:pPr>
              <w:spacing w:after="0" w:before="0" w:lineRule="auto" w:line="276"/>
              <w:jc w:val="left"/>
            </w:pPr>
            <w:r>
              <w:rPr>
                <w:rFonts w:ascii="Times New Roman" w:hAnsi="Times New Roman" w:cs="Times New Roman" w:eastAsia="Times New Roman"/>
                <w:b w:val="false"/>
                <w:sz w:val="26"/>
              </w:rPr>
              <w:t>Nghị định 156/2018/NĐ-CP</w:t>
            </w:r>
          </w:p>
        </w:tc>
        <w:tc>
          <w:p/>
          <w:p>
            <w:pPr>
              <w:spacing w:after="0" w:before="0" w:lineRule="auto" w:line="276"/>
              <w:jc w:val="left"/>
            </w:pPr>
            <w:r>
              <w:rPr>
                <w:rFonts w:ascii="Times New Roman" w:hAnsi="Times New Roman" w:cs="Times New Roman" w:eastAsia="Times New Roman"/>
                <w:b w:val="false"/>
                <w:sz w:val="26"/>
              </w:rPr>
              <w:t>16-11-2018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trong lĩnh vực lâm nghiệp và Kiểm lâm</w:t>
            </w:r>
          </w:p>
        </w:tc>
        <w:tc>
          <w:p/>
          <w:p>
            <w:pPr>
              <w:spacing w:after="0" w:before="0" w:lineRule="auto" w:line="276"/>
              <w:jc w:val="left"/>
            </w:pPr>
            <w:r>
              <w:rPr>
                <w:rFonts w:ascii="Times New Roman" w:hAnsi="Times New Roman" w:cs="Times New Roman" w:eastAsia="Times New Roman"/>
                <w:b w:val="false"/>
                <w:sz w:val="26"/>
              </w:rPr>
              <w:t>26-01-2026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2026-05-22T20:16:23Z</dcterms:created>
  <dc:creator>Apache POI</dc:creator>
</cp:coreProperties>
</file>