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chế độ ưu đãi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1:Cá nhân viết bản khai (Mẫu HH1 Thông tư số 05)
Gửi bản khai kèm theo một trong các giấy tờ, tài liệu quy định tại Khoản 2, Khoản 3 Điều 27 hoặc Khoản 2, Khoản 3 Điều 28 của Thông tư 05 gửi Ủy ban nhân dân cấp xã.
Người đang phục vụ trong quân đội, công an do Bộ Quốc phòng, Bộ Công an hướng dẫn cụ thể</w:t>
      </w:r>
    </w:p>
    <w:p>
      <w:pPr>
        <w:spacing w:after="0" w:before="0" w:lineRule="auto" w:line="276"/>
        <w:jc w:val="both"/>
      </w:pPr>
      <w:r>
        <w:rPr>
          <w:rFonts w:ascii="Times New Roman" w:hAnsi="Times New Roman" w:cs="Times New Roman" w:eastAsia="Times New Roman"/>
          <w:b w:val="false"/>
          <w:sz w:val="26"/>
        </w:rPr>
        <w:t>Bước 2: Ủy ban nhân dân cấp xã trong thời gian 10 ngày kể từ ngày nhận được bản khai, có trách nhiệm xác nhận các yếu tố trong bản khai, lập danh sách đề nghị xác nhận người hoạt động kháng chiến bị nhiễm chất độc hóa học kèm giấy tờ quy định tại Điểm a Khoản 2 Điều 29 Thông tư số 05 gửi Phòng Lao động - Thương binh và Xã hội;
Phòng Lao động - Thương binh và Xã hội trong thời gian 10 ngày kể từ ngày nhận đủ các giấy tờ hợp lệ, có trách nhiệm kiểm tra, lập danh sách người đủ điều kiện kèm giấy tờ quy định tại Điểm b Khoản 2 Điều 29 Thông tư số 05 gửi Sở Lao động - Thương binh và Xã hội;
Sở Lao động - Thương binh và Xã hội trong thời gian 10 ngày, kể từ ngày nhận đủ hồ sơ hợp lệ, có trách nhiệm kiểm tra hồ sơ, giới thiệu (kèm bản sao hồ sơ) ra Hội đồng giám định y khoa cấp tỉnh.
Hội đồng giám định y khoa cấp tỉnh khám giám định, lập biên bản giám định bệnh, tật; dị dạng, dị tật chuyển Sở Y tế kèm hồ sơ để cấp giấy chứng nhận bệnh tật do nhiễm chất độc hóa học; dị dạng, dị tật do ảnh hưởng của chất độc hóa học;
Sở Y tế trong thời gian 10 ngày kể từ ngày tiếp nhận hồ sơ, có trách nhiệm cấp giấy chứng nhận bệnh tật do nhiễm chất độc hóa học; giấy chứng nhận dị dạng, dị tật do ảnh hưởng của chất độc hóa học và chuyển Sở Lao động - Thương binh và Xã hội kèm hồ sơ;
Sở Lao động - Thương binh và Xã hội trong thời gian 10 ngày kể từ ngày tiếp nhận đủ hồ sơ do Sở Y tế chuyển đến, có trách nhiệm ra quyết định trợ cấp, phụ cấp đối với những trường hợp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(Mẫu HH1)</w:t>
            </w:r>
          </w:p>
        </w:tc>
        <w:tc>
          <w:p/>
          <w:p>
            <w:pPr>
              <w:spacing w:after="0" w:before="0" w:lineRule="auto" w:line="276"/>
              <w:jc w:val="left"/>
            </w:pPr>
            <w:r>
              <w:rPr>
                <w:rFonts w:ascii="Times New Roman" w:hAnsi="Times New Roman" w:cs="Times New Roman" w:eastAsia="Times New Roman"/>
                <w:b w:val="false"/>
                <w:sz w:val="26"/>
              </w:rPr>
              <w:t>Mẫu HH1.docx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những giấy tờ chứng minh thời gian tham gia hoạt động kháng chiến tại vùng mà quân đội Mỹ sử dụng chất độc hóa học: Quyết định phục viên, xuất ngũ; giấy X Y Z; giấy chuyển thương, chuyển viện, giấy điều trị; giấy tờ khác chứng minh có tham gia hoạt động kháng chiến tại vùng mà quân đội Mỹ sử dụng chất độc hóa học được xác lập từ ngày 30 tháng 4 năm 1975 trở về trước.  Bản sao: Lý lịch cán bộ, lý lịch đảng viên, lý lịch quân nhân, Huân chương, Huy chương chiến sĩ giải phóng.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bệnh án điều trị tại cơ sở y tế có thẩm quyền do Bộ Y tế quy định, trừ các trường hợp quy định tại Khoản 3, Điều 27, Thông tư 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giám định bệnh tật của Hội đồng giám định y khoa có thẩm quyền kết luận bị mắc bệnh tật do nhiễm chất độc hóa học và xác định tỷ lệ suy giảm khả năng lao động do bệnh tật (Mẫu 2, Thông tư liên tịch số 41/2013/TTLT-BYT-BLĐTBXH)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bệnh tật do nhiễm chất độc hóa học (Mẫu 2, Thông tư liên tịch số 41/2013/TTLT-BYT-BLĐTBXH) của Giám đốc Sở Y tế.  Trường hợp người đang phục vụ trong quân đội, công an thì giấy chứng nhận bệnh tật do nhiễm chất độc hóa học do cơ quan y tế có thẩm quyền theo quy định của Bộ Quốc phòng, Bộ Công 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giấy tờ: Lý lịch công an nhân dân; hồ sơ hưởng chế độ bảo hiểm xã hội; hồ sơ khen thưởng tổng kết thành tích tham gia kháng chiến; hồ sơ, giấy tờ khác có giá trị pháp lý được lập trước ngày 01 tháng 01 năm 2000;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cơ quan chức năng thuộc Bộ Quốc phòng về phiên hiệu, ký hiệu, thời gian và địa bàn hoạt động của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 Sở Lao động-Thương binh và Xã hội, Sở Y tế,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giấy chứng nhận người HĐKC bị nhiễm CĐHH và trợ cấp, phụ cấp hàng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16/2014/TT-BLĐTBXH</w:t>
            </w:r>
          </w:p>
        </w:tc>
        <w:tc>
          <w:p/>
          <w:p>
            <w:pPr>
              <w:spacing w:after="0" w:before="0" w:lineRule="auto" w:line="276"/>
              <w:jc w:val="left"/>
            </w:pPr>
            <w:r>
              <w:rPr>
                <w:rFonts w:ascii="Times New Roman" w:hAnsi="Times New Roman" w:cs="Times New Roman" w:eastAsia="Times New Roman"/>
                <w:b w:val="false"/>
                <w:sz w:val="26"/>
              </w:rPr>
              <w:t>Thông tư 16/2014/TT-BLĐTBXH - Hướng dẫn một số nội dung xác nhận và thực hiệnchế độ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30-07-2014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45/2014/TTLT-BYT-BLĐTBXH</w:t>
            </w:r>
          </w:p>
        </w:tc>
        <w:tc>
          <w:p/>
          <w:p>
            <w:pPr>
              <w:spacing w:after="0" w:before="0" w:lineRule="auto" w:line="276"/>
              <w:jc w:val="left"/>
            </w:pPr>
            <w:r>
              <w:rPr>
                <w:rFonts w:ascii="Times New Roman" w:hAnsi="Times New Roman" w:cs="Times New Roman" w:eastAsia="Times New Roman"/>
                <w:b w:val="false"/>
                <w:sz w:val="26"/>
              </w:rPr>
              <w:t>Thông tư liên tịch 45/2014/TTLT-BYT-BLĐTBXH-Hướng dẫn khám giám định thương tật đối với thương binh và người hưởng chính sách như thương binh</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41/2013/TTLT-BYT-BLĐTBXH</w:t>
            </w:r>
          </w:p>
        </w:tc>
        <w:tc>
          <w:p/>
          <w:p>
            <w:pPr>
              <w:spacing w:after="0" w:before="0" w:lineRule="auto" w:line="276"/>
              <w:jc w:val="left"/>
            </w:pPr>
            <w:r>
              <w:rPr>
                <w:rFonts w:ascii="Times New Roman" w:hAnsi="Times New Roman" w:cs="Times New Roman" w:eastAsia="Times New Roman"/>
                <w:b w:val="false"/>
                <w:sz w:val="26"/>
              </w:rPr>
              <w:t>Thông tư liên tịch 41/2013/TTLT-BYT-BLĐTBXH - Hướng dẫn khám giám định bệnh, tật, dị dạng, dị tật có liên quan đến phơi nhiễm với chất độc hóa học đối với người hoạt động kháng chiến và con đẻ của họ</w:t>
            </w:r>
          </w:p>
        </w:tc>
        <w:tc>
          <w:p/>
          <w:p>
            <w:pPr>
              <w:spacing w:after="0" w:before="0" w:lineRule="auto" w:line="276"/>
              <w:jc w:val="left"/>
            </w:pPr>
            <w:r>
              <w:rPr>
                <w:rFonts w:ascii="Times New Roman" w:hAnsi="Times New Roman" w:cs="Times New Roman" w:eastAsia="Times New Roman"/>
                <w:b w:val="false"/>
                <w:sz w:val="26"/>
              </w:rPr>
              <w:t>18-11-2013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2026-05-14T17:00:39Z</dcterms:created>
  <dc:creator>Apache POI</dc:creator>
</cp:coreProperties>
</file>