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2.001027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1328/QĐ-BTP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tạm thu tiền, giấy tờ do phạm nhân phải THADS hoặc thân nhân của họ tự nguyện nộp khi tại Nhà tạm giữ (cơ quan Thi hành án hình sự công an cấp huyện) chưa nhận được quyết định thi hành án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hành án dân sự</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Phạm nhân là người phải THADS hoặc thân nhân của họ tự nguyện nộp tiền, giấy tờ tại Nhà tạm giữ Công an cấp huyện để thi hành án.</w:t>
      </w:r>
    </w:p>
    <w:p>
      <w:pPr>
        <w:spacing w:after="0" w:before="0" w:lineRule="auto" w:line="276"/>
        <w:jc w:val="both"/>
      </w:pPr>
      <w:r>
        <w:rPr>
          <w:rFonts w:ascii="Times New Roman" w:hAnsi="Times New Roman" w:cs="Times New Roman" w:eastAsia="Times New Roman"/>
          <w:b w:val="false"/>
          <w:sz w:val="26"/>
        </w:rPr>
        <w:t>- Nhà tạm giữ Công an cấp huyện xem xét Bản án, quyết định của Tòa án liên quan đến phạm nhân (nếu có); lập biên bản tự nguyện THADS và tạm thu tiền, giấy tờ của phạm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Giải quyết khi có đề nghị của phạm nhân.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Thực hiện tại Nhà tạm giữ Công an cấp huyện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Tiền hoặc giấy tờ cần nộp để thi hành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Thông tin về nhân thân (số CMND, nơi cấp, ngày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Trại giam, Trại tạm giam của Bộ Công 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Biên bản tự nguyện THADS hoặc biên lai thu tiền thi hành án hoặc biên bản thu giấy tờ.</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26/2008/QH12</w:t>
            </w:r>
          </w:p>
        </w:tc>
        <w:tc>
          <w:p/>
          <w:p>
            <w:pPr>
              <w:spacing w:after="0" w:before="0" w:lineRule="auto" w:line="276"/>
              <w:jc w:val="left"/>
            </w:pPr>
            <w:r>
              <w:rPr>
                <w:rFonts w:ascii="Times New Roman" w:hAnsi="Times New Roman" w:cs="Times New Roman" w:eastAsia="Times New Roman"/>
                <w:b w:val="false"/>
                <w:sz w:val="26"/>
              </w:rPr>
              <w:t>Luật 26/2008/QH12</w:t>
            </w:r>
          </w:p>
        </w:tc>
        <w:tc>
          <w:p/>
          <w:p>
            <w:pPr>
              <w:spacing w:after="0" w:before="0" w:lineRule="auto" w:line="276"/>
              <w:jc w:val="left"/>
            </w:pPr>
            <w:r>
              <w:rPr>
                <w:rFonts w:ascii="Times New Roman" w:hAnsi="Times New Roman" w:cs="Times New Roman" w:eastAsia="Times New Roman"/>
                <w:b w:val="false"/>
                <w:sz w:val="26"/>
              </w:rPr>
              <w:t>14-11-2008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64/2014/QH13</w:t>
            </w:r>
          </w:p>
        </w:tc>
        <w:tc>
          <w:p/>
          <w:p>
            <w:pPr>
              <w:spacing w:after="0" w:before="0" w:lineRule="auto" w:line="276"/>
              <w:jc w:val="left"/>
            </w:pPr>
            <w:r>
              <w:rPr>
                <w:rFonts w:ascii="Times New Roman" w:hAnsi="Times New Roman" w:cs="Times New Roman" w:eastAsia="Times New Roman"/>
                <w:b w:val="false"/>
                <w:sz w:val="26"/>
              </w:rPr>
              <w:t>Luật 64/2014/QH13</w:t>
            </w:r>
          </w:p>
        </w:tc>
        <w:tc>
          <w:p/>
          <w:p>
            <w:pPr>
              <w:spacing w:after="0" w:before="0" w:lineRule="auto" w:line="276"/>
              <w:jc w:val="left"/>
            </w:pPr>
            <w:r>
              <w:rPr>
                <w:rFonts w:ascii="Times New Roman" w:hAnsi="Times New Roman" w:cs="Times New Roman" w:eastAsia="Times New Roman"/>
                <w:b w:val="false"/>
                <w:sz w:val="26"/>
              </w:rPr>
              <w:t>25-11-2014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07/2013/TTLT-BTP-BCA-BTC</w:t>
            </w:r>
          </w:p>
        </w:tc>
        <w:tc>
          <w:p/>
          <w:p>
            <w:pPr>
              <w:spacing w:after="0" w:before="0" w:lineRule="auto" w:line="276"/>
              <w:jc w:val="left"/>
            </w:pPr>
            <w:r>
              <w:rPr>
                <w:rFonts w:ascii="Times New Roman" w:hAnsi="Times New Roman" w:cs="Times New Roman" w:eastAsia="Times New Roman"/>
                <w:b w:val="false"/>
                <w:sz w:val="26"/>
              </w:rPr>
              <w:t>Thông tư liên tịch 07/2013/TTLT-BTP-BCA-BTC</w:t>
            </w:r>
          </w:p>
        </w:tc>
        <w:tc>
          <w:p/>
          <w:p>
            <w:pPr>
              <w:spacing w:after="0" w:before="0" w:lineRule="auto" w:line="276"/>
              <w:jc w:val="left"/>
            </w:pPr>
            <w:r>
              <w:rPr>
                <w:rFonts w:ascii="Times New Roman" w:hAnsi="Times New Roman" w:cs="Times New Roman" w:eastAsia="Times New Roman"/>
                <w:b w:val="false"/>
                <w:sz w:val="26"/>
              </w:rPr>
              <w:t>06-02-2013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2026-05-26T19:14:09Z</dcterms:created>
  <dc:creator>Apache POI</dc:creator>
</cp:coreProperties>
</file>