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543/QĐ-NHPT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Bảo lãnh cho doanh nghiệp vay vốn của NHTM: Sửa đổi Hợp đồng bảo lãnh vay vốn, Hợp đồng thế chấp tài sản, Hợp đồng nhận nợ nguyên tắc, phát hành chứng thư bảo lãnh sửa đổi đối với Hợp tác xã có dự án phân cấp trong trường hợp Hợp tác xã chuyển đổi, tổ chức lại theo quy định của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bảo lãnh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Hợp tác xã và Ngân hàng thương mại gửi đến Sở Giao dịch, Chi nhánh NHPT hồ sơ đề nghị sửa đổi bảo lãnh.</w:t>
      </w:r>
    </w:p>
    <w:p>
      <w:pPr>
        <w:spacing w:after="0" w:before="0" w:lineRule="auto" w:line="276"/>
        <w:jc w:val="both"/>
      </w:pPr>
      <w:r>
        <w:rPr>
          <w:rFonts w:ascii="Times New Roman" w:hAnsi="Times New Roman" w:cs="Times New Roman" w:eastAsia="Times New Roman"/>
          <w:b w:val="false"/>
          <w:sz w:val="26"/>
        </w:rPr>
        <w:t>Bước 2: Sở Giao dịch, Chi nhánh NHPT thực hiện thẩm định hồ sơ đề nghị sửa đổi bảo lãnh vay vốn như thẩm định hồ sơ đề nghị bảo lãnh vay vốn ban đầu.</w:t>
      </w:r>
    </w:p>
    <w:p>
      <w:pPr>
        <w:spacing w:after="0" w:before="0" w:lineRule="auto" w:line="276"/>
        <w:jc w:val="both"/>
      </w:pPr>
      <w:r>
        <w:rPr>
          <w:rFonts w:ascii="Times New Roman" w:hAnsi="Times New Roman" w:cs="Times New Roman" w:eastAsia="Times New Roman"/>
          <w:b w:val="false"/>
          <w:sz w:val="26"/>
        </w:rPr>
        <w:t>Bước 3: Trường hợp không chấp thuận sửa đổi: Sở Giao dịch, Chi nhánh có văn bản thông báo không chấp thuận sửa đổi gửi Hợp tác xã và Ngân hàng thương mại.</w:t>
      </w:r>
    </w:p>
    <w:p>
      <w:pPr>
        <w:spacing w:after="0" w:before="0" w:lineRule="auto" w:line="276"/>
        <w:jc w:val="both"/>
      </w:pPr>
      <w:r>
        <w:rPr>
          <w:rFonts w:ascii="Times New Roman" w:hAnsi="Times New Roman" w:cs="Times New Roman" w:eastAsia="Times New Roman"/>
          <w:b w:val="false"/>
          <w:sz w:val="26"/>
        </w:rPr>
        <w:t>Bước 4: Trường hợp chấp thuận sửa đổi: Sở Giao dịch, Chi nhánh NHPT có văn bản thông báo chấp thuận sửa đổi bảo lãnh vay vốn gửi Hợp tác xã và Ngân hàng thương mại, đồng thời, phối hợp với Hợp tác xã ký kết Hợp đồng kế thừa quyền và nghĩa vụ của Hợp đồng bảo lãnh vay vốn, Hợp đồng thế chấp tài sản , Hợp đồng nhận nợ nguyên tắc.</w:t>
      </w:r>
    </w:p>
    <w:p>
      <w:pPr>
        <w:spacing w:after="0" w:before="0" w:lineRule="auto" w:line="276"/>
        <w:jc w:val="both"/>
      </w:pPr>
      <w:r>
        <w:rPr>
          <w:rFonts w:ascii="Times New Roman" w:hAnsi="Times New Roman" w:cs="Times New Roman" w:eastAsia="Times New Roman"/>
          <w:b w:val="false"/>
          <w:sz w:val="26"/>
        </w:rPr>
        <w:t>Bước 5: Sở Giao dịch, Chi nhánh NHPT thực hiện thay đổi đăng ký giao dịch bảo đảm.</w:t>
      </w:r>
    </w:p>
    <w:p>
      <w:pPr>
        <w:spacing w:after="0" w:before="0" w:lineRule="auto" w:line="276"/>
        <w:jc w:val="both"/>
      </w:pPr>
      <w:r>
        <w:rPr>
          <w:rFonts w:ascii="Times New Roman" w:hAnsi="Times New Roman" w:cs="Times New Roman" w:eastAsia="Times New Roman"/>
          <w:b w:val="false"/>
          <w:sz w:val="26"/>
        </w:rPr>
        <w:t>Bước 6: Sở Giao dịch, Chi nhánh NHPT phát hành chứng thư bảo lãnh mới thay thế cho Chứng thư bảo lãnh ban đầu, đồng thời, thu hồi Chứng thư bảo lãnh đã phát hành ban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sửa đổi bảo lãnh vay vốn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liên quan đến việc chuyển đổi, tổ chức lại của Hợp tác xã đang được bảo lãnh vay vốn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Ngân hàng thương mại: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sửa đổi Chứng thư bảo lãnh trong đó có ghi rõ nội dung đề nghị sửa đổi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kế thừa quyền và nghĩa vụ của Hợp đồng bảo lãnh, Hợp đồng thế chấp tài sản, Hợp đồng nhận nợ nguyên tắc; Chứng thư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14/2009/QĐ-TTg</w:t>
            </w:r>
          </w:p>
        </w:tc>
        <w:tc>
          <w:p/>
          <w:p>
            <w:pPr>
              <w:spacing w:after="0" w:before="0" w:lineRule="auto" w:line="276"/>
              <w:jc w:val="left"/>
            </w:pPr>
            <w:r>
              <w:rPr>
                <w:rFonts w:ascii="Times New Roman" w:hAnsi="Times New Roman" w:cs="Times New Roman" w:eastAsia="Times New Roman"/>
                <w:b w:val="false"/>
                <w:sz w:val="26"/>
              </w:rPr>
              <w:t>Ban hành Quy chế Bảo lãnh cho Doanh nghiệp vay vốn của Ngân hàng Thương mại</w:t>
            </w:r>
          </w:p>
        </w:tc>
        <w:tc>
          <w:p/>
          <w:p>
            <w:pPr>
              <w:spacing w:after="0" w:before="0" w:lineRule="auto" w:line="276"/>
              <w:jc w:val="left"/>
            </w:pPr>
            <w:r>
              <w:rPr>
                <w:rFonts w:ascii="Times New Roman" w:hAnsi="Times New Roman" w:cs="Times New Roman" w:eastAsia="Times New Roman"/>
                <w:b w:val="false"/>
                <w:sz w:val="26"/>
              </w:rPr>
              <w:t>21-01-2009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60/2009/QĐ-TTg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14/2009/QĐ-TTg ngày 21 tháng 01 năm 2009 của Thủ tướng Chính phủ ban hành Quy chế bảo lãnh cho doanh nghiệp vay vốn tại các ngân hàng thương mại</w:t>
            </w:r>
          </w:p>
        </w:tc>
        <w:tc>
          <w:p/>
          <w:p>
            <w:pPr>
              <w:spacing w:after="0" w:before="0" w:lineRule="auto" w:line="276"/>
              <w:jc w:val="left"/>
            </w:pPr>
            <w:r>
              <w:rPr>
                <w:rFonts w:ascii="Times New Roman" w:hAnsi="Times New Roman" w:cs="Times New Roman" w:eastAsia="Times New Roman"/>
                <w:b w:val="false"/>
                <w:sz w:val="26"/>
              </w:rPr>
              <w:t>17-04-2009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30/2008/NQ-CP</w:t>
            </w:r>
          </w:p>
        </w:tc>
        <w:tc>
          <w:p/>
          <w:p>
            <w:pPr>
              <w:spacing w:after="0" w:before="0" w:lineRule="auto" w:line="276"/>
              <w:jc w:val="left"/>
            </w:pPr>
            <w:r>
              <w:rPr>
                <w:rFonts w:ascii="Times New Roman" w:hAnsi="Times New Roman" w:cs="Times New Roman" w:eastAsia="Times New Roman"/>
                <w:b w:val="false"/>
                <w:sz w:val="26"/>
              </w:rPr>
              <w:t>Về những giải pháp cấp bách nhằm ngăn chặn suy giảm kinh tế, duy trì tăng trưởng kinh tế, bảo đảm an sinh xã hội</w:t>
            </w:r>
          </w:p>
        </w:tc>
        <w:tc>
          <w:p/>
          <w:p>
            <w:pPr>
              <w:spacing w:after="0" w:before="0" w:lineRule="auto" w:line="276"/>
              <w:jc w:val="left"/>
            </w:pPr>
            <w:r>
              <w:rPr>
                <w:rFonts w:ascii="Times New Roman" w:hAnsi="Times New Roman" w:cs="Times New Roman" w:eastAsia="Times New Roman"/>
                <w:b w:val="false"/>
                <w:sz w:val="26"/>
              </w:rPr>
              <w:t>11-12-2008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1097 /NHPT- BL-HTUT</w:t>
            </w:r>
          </w:p>
        </w:tc>
        <w:tc>
          <w:p/>
          <w:p>
            <w:pPr>
              <w:spacing w:after="0" w:before="0" w:lineRule="auto" w:line="276"/>
              <w:jc w:val="left"/>
            </w:pPr>
            <w:r>
              <w:rPr>
                <w:rFonts w:ascii="Times New Roman" w:hAnsi="Times New Roman" w:cs="Times New Roman" w:eastAsia="Times New Roman"/>
                <w:b w:val="false"/>
                <w:sz w:val="26"/>
              </w:rPr>
              <w:t>Công văn số 1097 /NHPT- BL-HTUT ngày 21/4/2009 về hướng dẫn thực hiện nghiệp vụ Bảo lãnh cho Doanh nghiệp vay vốn của NHTM</w:t>
            </w:r>
          </w:p>
        </w:tc>
        <w:tc>
          <w:p/>
          <w:p>
            <w:pPr>
              <w:spacing w:after="0" w:before="0" w:lineRule="auto" w:line="276"/>
              <w:jc w:val="left"/>
            </w:pPr>
            <w:r>
              <w:rPr>
                <w:rFonts w:ascii="Times New Roman" w:hAnsi="Times New Roman" w:cs="Times New Roman" w:eastAsia="Times New Roman"/>
                <w:b w:val="false"/>
                <w:sz w:val="26"/>
              </w:rPr>
              <w:t>21-04-2009</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1914 /NHPT- BL-HTUT</w:t>
            </w:r>
          </w:p>
        </w:tc>
        <w:tc>
          <w:p/>
          <w:p>
            <w:pPr>
              <w:spacing w:after="0" w:before="0" w:lineRule="auto" w:line="276"/>
              <w:jc w:val="left"/>
            </w:pPr>
            <w:r>
              <w:rPr>
                <w:rFonts w:ascii="Times New Roman" w:hAnsi="Times New Roman" w:cs="Times New Roman" w:eastAsia="Times New Roman"/>
                <w:b w:val="false"/>
                <w:sz w:val="26"/>
              </w:rPr>
              <w:t>Công văn số 1914 /NHPT- BL-HTUT ngày 18/6/2009 về việc sửa đổi, bổ sung CV số 1097 hướng dẫn bảo lãnh doanh nghiệp vay vốn NHTM</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2026-05-27T18:02:10Z</dcterms:created>
  <dc:creator>Apache POI</dc:creator>
</cp:coreProperties>
</file>