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giao rừng cho hộ gia đình, cá nhân và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Hộ gia đình, cá nhân và cộng đồng dân cư gửi 01 bộ hồ sơ trực tiếp hoặc qua dịch vụ bưu chính hoặc qua môi trường điện tử đến Ủy ban nhân dân cấp xã. 
Trường hợp hồ sơ không hợp lệ, trong thời gian 03 ngày làm việc kể từ ngày nhận được hồ sơ, Ủy ban nhân dân cấp xã trả lời bằng văn bản và nêu rõ lý do.</w:t>
      </w:r>
    </w:p>
    <w:p>
      <w:pPr>
        <w:spacing w:after="0" w:before="0" w:lineRule="auto" w:line="276"/>
        <w:jc w:val="both"/>
      </w:pPr>
      <w:r>
        <w:rPr>
          <w:rFonts w:ascii="Times New Roman" w:hAnsi="Times New Roman" w:cs="Times New Roman" w:eastAsia="Times New Roman"/>
          <w:b w:val="false"/>
          <w:sz w:val="26"/>
        </w:rPr>
        <w:t>b) Bước 2: Chuyển đề nghị giao rừng của hộ gia đình, cá nhân, cộng đồng dân cư gửi đến cơ quan chuyên môn về lâm nghiệp cấp huyện
Trong thời gian 05 ngày kể từ ngày nhận được hồ sơ hợp lệ, Ủy ban nhân dân cấp xã chuyển đề nghị giao rừng của hộ gia đình, cá nhân, cộng đồng dân cư gửi đến Hạt Kiểm lâm cấp huyện hoặc cơ quan chuyên môn về lâm nghiệp thuộc Ủy ban nhân dân cấp huyện ở nơi không có Hạt Kiểm lâm (sau đây viết tắt là cơ quan chuyên môn về lâm nghiệp cấp huyện).</w:t>
      </w:r>
    </w:p>
    <w:p>
      <w:pPr>
        <w:spacing w:after="0" w:before="0" w:lineRule="auto" w:line="276"/>
        <w:jc w:val="both"/>
      </w:pPr>
      <w:r>
        <w:rPr>
          <w:rFonts w:ascii="Times New Roman" w:hAnsi="Times New Roman" w:cs="Times New Roman" w:eastAsia="Times New Roman"/>
          <w:b w:val="false"/>
          <w:sz w:val="26"/>
        </w:rPr>
        <w:t>c) Bước 3: Kiểm tra nội dung giao rừng, kiểm tra hiện trạng khu rừng tại thực địa, trình Ủy ban nhân dân cấp huyện
Trong thời gian 30 ngày, cơ quan chuyên môn về lâm nghiệp cấp huyện tiếp nhận hồ sơ đề nghị giao rừng của hộ gia đình, cá nhân, cộng đồng dân cư do Ủy ban nhân dân cấp xã chuyển đến, có trách nhiệm: phối hợp với Phòng Tài nguyên và Môi trường kiểm tra nội dung giao rừng theo quy định tại các Điều 14, 15 và 16 Luật Lâm nghiệp; phối hợp với Ủy ban nhân dân cấp xã tổ chức kiểm tra hiện trạng khu rừng tại thực địa (vị trí, ranh giới, tranh chấp); lập Tờ trình kèm theo hồ sơ trình Ủy ban nhân dân cấp huyện xem xét, quyết định giao rừng cho hộ gia đình, cá nhân, cộng đồng dân cư.
Trường hợp không đủ điều kiện, cơ quan chuyên môn về lâm nghiệp cấp huyện trả lời bằng văn bản và nêu rõ lý do.</w:t>
      </w:r>
    </w:p>
    <w:p>
      <w:pPr>
        <w:spacing w:after="0" w:before="0" w:lineRule="auto" w:line="276"/>
        <w:jc w:val="both"/>
      </w:pPr>
      <w:r>
        <w:rPr>
          <w:rFonts w:ascii="Times New Roman" w:hAnsi="Times New Roman" w:cs="Times New Roman" w:eastAsia="Times New Roman"/>
          <w:b w:val="false"/>
          <w:sz w:val="26"/>
        </w:rPr>
        <w:t>d) Bước 4: Quyết định
Trong thời gian 05 ngày kể từ ngày nhận được hồ sơ do cơ quan chuyên môn về lâm nghiệp cấp huyện trình, Ủy ban nhân dân cấp huyện xem xét, quyết định giao rừng cho hộ gia đình, cá nhân, cộng đồng dân cư theo Mẫu số 10 Phụ lục II kèm theo Nghị định số 91/2024/NĐ-CP ngày 18/7/2024 của Chính phủ. 
Trường hợp không đủ điều kiện quyết định, Ủy ban nhân dân cấp huyện trả lời bằng văn bản và nêu rõ lý do.</w:t>
      </w:r>
    </w:p>
    <w:p>
      <w:pPr>
        <w:spacing w:after="0" w:before="0" w:lineRule="auto" w:line="276"/>
        <w:jc w:val="both"/>
      </w:pPr>
      <w:r>
        <w:rPr>
          <w:rFonts w:ascii="Times New Roman" w:hAnsi="Times New Roman" w:cs="Times New Roman" w:eastAsia="Times New Roman"/>
          <w:b w:val="false"/>
          <w:sz w:val="26"/>
        </w:rPr>
        <w:t>đ) Bước 5: Bàn giao rừng
Trong thời gian 10 ngày kể từ ngày nhận được quyết định giao rừng của Ủy ban nhân dân cấp huyện, cơ quan chuyên môn về lâm nghiệp cấp huyện phối hợp với Ủy ban nhân dân cấp xã tổ chức bàn giao rừng tại thực địa cho hộ gia đình, cá nhân, cộng đồng dân cư. Việc bàn giao phải xác định rõ vị trí, ranh giới, diện tích, hiện trạng, trữ lượng, điều kiện lập địa, loài cây, năm trồng đối với rừng trồng, bản đồ khu rừng được giao và lập thành biên bản, có ký tên của đại diện Ủy ban nhân dân cấp xã, đại diện các chủ rừng liền kề theo Mẫu số 11 Phụ lục II kèm theo Nghị định số 91/2024/NĐ-CP ngày 18/7/2024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giao rừng theo Mẫu số 08 (đối với hộ gia đình, cá nhân), Mẫu số 09 (đối với cộng đồng dân cư)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08. Phụ lục II.doc</w:t>
            </w:r>
          </w:p>
          <w:p>
            <w:pPr>
              <w:spacing w:after="0" w:before="0" w:lineRule="auto" w:line="276"/>
              <w:jc w:val="left"/>
            </w:pPr>
            <w:r>
              <w:rPr>
                <w:rFonts w:ascii="Times New Roman" w:hAnsi="Times New Roman" w:cs="Times New Roman" w:eastAsia="Times New Roman"/>
                <w:b w:val="false"/>
                <w:sz w:val="26"/>
              </w:rPr>
              <w:t>Mẫu số 09.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giao rừng cho hộ gia đình, cá nhân, cộng đồng dân cư theo Mẫu số 10 Phụ lục II kèm theo Nghị định số 91/2024/NĐ-CP ngày 18/7/2024 của Chính phủ., - Biên bản bàn giao rừng theo Mẫu số 11 Phụ lục II kèm theo Nghị định số 91/2024/NĐ-CP ngày 18/7/2024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2026-05-20T16:40:47Z</dcterms:created>
  <dc:creator>Apache POI</dc:creator>
</cp:coreProperties>
</file>