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chi phí khuyến khích sử dụng hình thức hỏa táng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Cơ quan, tổ chức, cá nhân trực tiếp chi trả chi phí dịch vụ hỏa táng cho người chết làm hồ sơ theo quy định, gửi Ủy ban nhân dân cấp xã thông qua Trung tâm Phục vụ hành chính công cấp xã.</w:t>
      </w:r>
    </w:p>
    <w:p>
      <w:pPr>
        <w:spacing w:after="0" w:before="0" w:lineRule="auto" w:line="276"/>
        <w:jc w:val="both"/>
      </w:pPr>
      <w:r>
        <w:rPr>
          <w:rFonts w:ascii="Times New Roman" w:hAnsi="Times New Roman" w:cs="Times New Roman" w:eastAsia="Times New Roman"/>
          <w:b w:val="false"/>
          <w:sz w:val="26"/>
        </w:rPr>
        <w:t>* Bước 2: Xử lý hồ sơ
- Sau khi nhận đủ hồ sơ hợp lệ, Trung tâm Phục vụ hành chính công cấp xã chuyển hồ sơ cho Phòng Văn hóa - Xã hội.
- Trong thời hạn 05 ngày làm việc, kể từ ngày nhận được hồ sơ, Phòng Văn hóa - Xã hội thẩm định, trình Chủ tịch Ủy ban nhân dân cấp xã xem xét, quyết định hỗ trợ chi phí để khuyến khích sử dụng hình thức hỏa táng theo Mẫu số 03 Phụ lục ban hành kèm theo Quyết định số 50/2025/QĐ-UBND ngày 11 tháng 12 năm 2025 của Ủy ban nhân dân tỉnh.</w:t>
      </w:r>
    </w:p>
    <w:p>
      <w:pPr>
        <w:spacing w:after="0" w:before="0" w:lineRule="auto" w:line="276"/>
        <w:jc w:val="both"/>
      </w:pPr>
      <w:r>
        <w:rPr>
          <w:rFonts w:ascii="Times New Roman" w:hAnsi="Times New Roman" w:cs="Times New Roman" w:eastAsia="Times New Roman"/>
          <w:b w:val="false"/>
          <w:sz w:val="26"/>
        </w:rPr>
        <w:t>* Bước 3: Trả kết quả 
Trong thời hạn 02 ngày làm việc, kể từ ngày Chủ tịch Ủy ban nhân dân cấp xã ký quyết định, Phòng Văn hóa  - Xã hội chuyển kết quả cho Trung tâm Phục vụ hành chính công cấp xã để trả kết quả giải quyết cùng với chi phí hỗ trợ cho cơ quan,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hồ sơ đến Bộ phận Một cửa của UBND cấp xã.
Đối với địa bàn huyện Lý Sơn, nộp trực tiếp hồ sơ đến Bộ phận Một cửa của UBND huyện Lý Sơn.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tuyến qua Hệ thống thông tin giải quyết thủ tục hành chính tỉnh: https://dichvucong.quangngai.gov.vn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qua đường bưu điện (Trường hợp gửi hồ sơ qua đường bưu điện, thời gian được tính từ ngày đến trên phong bì).</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hỗ trợ chi phí để khuyến khích sử dụng hình thức hỏa táng (theo Mẫu số 01 và Mẫu số 02 Phụ lục ban hành kèm theo Quyết định số      50/2025/QĐ-UBND ngày 11 tháng 12 năm 2025 của Ủy ban nhân dân tỉnh)</w:t>
            </w:r>
          </w:p>
        </w:tc>
        <w:tc>
          <w:p/>
          <w:p>
            <w:pPr>
              <w:spacing w:after="0" w:before="0" w:lineRule="auto" w:line="276"/>
              <w:jc w:val="left"/>
            </w:pPr>
            <w:r>
              <w:rPr>
                <w:rFonts w:ascii="Times New Roman" w:hAnsi="Times New Roman" w:cs="Times New Roman" w:eastAsia="Times New Roman"/>
                <w:b w:val="false"/>
                <w:sz w:val="26"/>
              </w:rPr>
              <w:t>Mus2.doc</w:t>
            </w:r>
          </w:p>
          <w:p>
            <w:pPr>
              <w:spacing w:after="0" w:before="0" w:lineRule="auto" w:line="276"/>
              <w:jc w:val="left"/>
            </w:pPr>
            <w:r>
              <w:rPr>
                <w:rFonts w:ascii="Times New Roman" w:hAnsi="Times New Roman" w:cs="Times New Roman" w:eastAsia="Times New Roman"/>
                <w:b w:val="false"/>
                <w:sz w:val="26"/>
              </w:rPr>
              <w:t>Mus1.doc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ủy quyền được công chứng, chứng thực theo quy định của pháp luật (nếu là cá nhân được ủy quyền nộp hồ sơ) hoặc giấy giới thiệu của cơ quan, tổ chức (nếu là tổ chức) quy định tại điểm a, điểm b, điểm c khoản 2 Điều 1 Quyết định số 50/2025/QĐ-UBND ngày 11 tháng 12 năm 2025 của Ủy ban nhân dân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và Hóa đơn tài chính của cơ sở hỏa táng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Lao động – Thương binh và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UBND cấp xã; Bộ phận Một cửa của UBND huyện Lý Sơn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hVề việc hỗ trợ chi phí để khuyến khích sử dụng hình thức hỏa táng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23/2016/NĐ-CP</w:t>
            </w:r>
          </w:p>
        </w:tc>
        <w:tc>
          <w:p/>
          <w:p>
            <w:pPr>
              <w:spacing w:after="0" w:before="0" w:lineRule="auto" w:line="276"/>
              <w:jc w:val="left"/>
            </w:pPr>
            <w:r>
              <w:rPr>
                <w:rFonts w:ascii="Times New Roman" w:hAnsi="Times New Roman" w:cs="Times New Roman" w:eastAsia="Times New Roman"/>
                <w:b w:val="false"/>
                <w:sz w:val="26"/>
              </w:rPr>
              <w:t>Nghị định 23/2016/NĐ-CP</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163/2016/NĐ-CP</w:t>
            </w:r>
          </w:p>
        </w:tc>
        <w:tc>
          <w:p/>
          <w:p>
            <w:pPr>
              <w:spacing w:after="0" w:before="0" w:lineRule="auto" w:line="276"/>
              <w:jc w:val="left"/>
            </w:pPr>
            <w:r>
              <w:rPr>
                <w:rFonts w:ascii="Times New Roman" w:hAnsi="Times New Roman" w:cs="Times New Roman" w:eastAsia="Times New Roman"/>
                <w:b w:val="false"/>
                <w:sz w:val="26"/>
              </w:rPr>
              <w:t>Nghị định 163/2016/NĐ-CP</w:t>
            </w:r>
          </w:p>
        </w:tc>
        <w:tc>
          <w:p/>
          <w:p>
            <w:pPr>
              <w:spacing w:after="0" w:before="0" w:lineRule="auto" w:line="276"/>
              <w:jc w:val="left"/>
            </w:pPr>
            <w:r>
              <w:rPr>
                <w:rFonts w:ascii="Times New Roman" w:hAnsi="Times New Roman" w:cs="Times New Roman" w:eastAsia="Times New Roman"/>
                <w:b w:val="false"/>
                <w:sz w:val="26"/>
              </w:rPr>
              <w:t>21-12-2016</w:t>
            </w:r>
          </w:p>
        </w:tc>
        <w:tc>
          <w:p/>
        </w:tc>
      </w:tr>
      <w:tr>
        <w:tc>
          <w:p/>
          <w:p>
            <w:pPr>
              <w:spacing w:after="0" w:before="0" w:lineRule="auto" w:line="276"/>
              <w:jc w:val="left"/>
            </w:pPr>
            <w:r>
              <w:rPr>
                <w:rFonts w:ascii="Times New Roman" w:hAnsi="Times New Roman" w:cs="Times New Roman" w:eastAsia="Times New Roman"/>
                <w:b w:val="false"/>
                <w:sz w:val="26"/>
              </w:rPr>
              <w:t>29/2024/NQ-HĐND</w:t>
            </w:r>
          </w:p>
        </w:tc>
        <w:tc>
          <w:p/>
          <w:p>
            <w:pPr>
              <w:spacing w:after="0" w:before="0" w:lineRule="auto" w:line="276"/>
              <w:jc w:val="left"/>
            </w:pPr>
            <w:r>
              <w:rPr>
                <w:rFonts w:ascii="Times New Roman" w:hAnsi="Times New Roman" w:cs="Times New Roman" w:eastAsia="Times New Roman"/>
                <w:b w:val="false"/>
                <w:sz w:val="26"/>
              </w:rPr>
              <w:t>Quy định chính sách khuyến khích sử dụng hình thức  hỏa táng trên địa bàn tỉnh Quảng Ngãi</w:t>
            </w:r>
          </w:p>
        </w:tc>
        <w:tc>
          <w:p/>
          <w:p>
            <w:pPr>
              <w:spacing w:after="0" w:before="0" w:lineRule="auto" w:line="276"/>
              <w:jc w:val="left"/>
            </w:pPr>
            <w:r>
              <w:rPr>
                <w:rFonts w:ascii="Times New Roman" w:hAnsi="Times New Roman" w:cs="Times New Roman" w:eastAsia="Times New Roman"/>
                <w:b w:val="false"/>
                <w:sz w:val="26"/>
              </w:rPr>
              <w:t>02-08-2024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chết thường trú trên địa bàn tỉnh Quảng Ngãi hoặc người chết trên địa bàn tỉnh Quảng Ngãi không có thân nhân lo an táng.
- Thời gian cơ quan, tổ chức, cá nhân nộp hồ sơ hỗ trợ: Chậm nhất là 90 ngày kể từ ngày thực hiện hỏa táng theo hợp đồng.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2026-04-30T11:36:22Z</dcterms:created>
  <dc:creator>Apache POI</dc:creator>
</cp:coreProperties>
</file>