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mà người sử dụng đất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sử dụng đất nộp đơn đề nghị điều chỉnh quyết định giao đất, cho thuê đất, cho phép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điều chỉnh quyết định giao đất, cho thuê đất, cho phép chuyển mục đích sử dụng đất;
- Ủy ban nhân dân cấp cấp huyện xem xét ban hành quyết định điều chỉnh quyết định giao đất, cho thuê đất, cho phép chuyển mục đích sử dụng đất;
- Cơ quan có chức năng quản lý đất đai cấp huyện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sử dụng đất thuộc trường hợp giao đất không thu tiền sử dụng đất:</w:t>
      </w:r>
    </w:p>
    <w:p>
      <w:pPr>
        <w:spacing w:after="0" w:before="0" w:lineRule="auto" w:line="276"/>
        <w:jc w:val="both"/>
      </w:pPr>
      <w:r>
        <w:rPr>
          <w:rFonts w:ascii="Times New Roman" w:hAnsi="Times New Roman" w:cs="Times New Roman" w:eastAsia="Times New Roman"/>
          <w:b w:val="false"/>
          <w:sz w:val="26"/>
        </w:rPr>
        <w:t>- Người sử dụng đất nộp đơn đề nghị điều chỉnh quyết định giao đất, cho thuê đất, cho phép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điều chỉnh quyết định giao đất, cho thuê đất, cho phép chuyển mục đích sử dụng đất.
- Ủy ban nhân dân cấp huyện xem xét ban hành quyết định điều chỉnh quyết định giao đất, cho thuê đất, cho phép chuyển mục đích sử dụng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sử dụng đất nộp đơn đề nghị điều chỉnh quyết định giao đất, cho thuê đất, cho phép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điều chỉnh quyết định giao đất, cho thuê đất, cho phép chuyển mục đích sử dụng đất.
- Ủy ban nhân dân cấp huyện xem xét ban hành quyết định điều chỉnh quyết định giao đất, cho thuê đất, cho phép chuyển mục đích sử dụng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Uỷ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Uỷ ban nhân dân cấp huyện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10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15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10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15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10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15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02d. Đơn đề nghị điều chỉnh quyết định giao đất/ cho thuê đất/ cho phép chuyển mục đích sử dụng đất</w:t>
            </w:r>
          </w:p>
        </w:tc>
        <w:tc>
          <w:p/>
          <w:p>
            <w:pPr>
              <w:spacing w:after="0" w:before="0" w:lineRule="auto" w:line="276"/>
              <w:jc w:val="left"/>
            </w:pPr>
            <w:r>
              <w:rPr>
                <w:rFonts w:ascii="Times New Roman" w:hAnsi="Times New Roman" w:cs="Times New Roman" w:eastAsia="Times New Roman"/>
                <w:b w:val="false"/>
                <w:sz w:val="26"/>
              </w:rPr>
              <w:t>Mẫu số 02d.docx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04d. Quyết định điều chỉnh quyết định giao đất/ cho thuê đất/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Đang sử dụng đất đã có quyết định giao đất, cho thuê đất, cho phép chuyển mục đích sử dụng đất.
- Điều kiện: Thay đổi căn cứ để ban hành quyết định giao đất, cho thuê đất, cho phép chuyển mục đích sử dụng đất quy định tại các khoản 1, 2, 3, 4 và 5 Điều 116 Luật Đất đai.
b) Yêu cầu quy định: 
- Yêu cầu 1: Trách nhiệm đảm bảo hoàn thành việc tổ chức xác định giá đất cụ thể đối với trường hợp phải nộp tiền sử dụng đất, tiền thuê đất theo giá đất cụ thể.
- Yêu cầu 2: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2026-05-09T13:46:08Z</dcterms:created>
  <dc:creator>Apache POI</dc:creator>
</cp:coreProperties>
</file>