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Việc hiệu đính, cập nhật, bổ sung thông tin trên Giấy chứng nhận đăng ký hoạt động chi nhánh, văn phòng đại diện, Giấy chứng nhận đăng ký địa điểm kinh doanh thực hiện theo quy định tại các khoản 1, 2, 3 và 4 Điều 26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Không thu phí </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Không thu phí </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Không thu phí </w:t>
              <w:t xml:space="preserve"> (Không thu phí)</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2026-04-29T23:15:17Z</dcterms:created>
  <dc:creator>Apache POI</dc:creator>
</cp:coreProperties>
</file>