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1.002445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4508/QĐ-BVHTTDL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của câu lạc bộ thể thao chuyên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hồ sơ qua bưu chính hoặc trên môi trường điện tử hoặc nộp trực tiếp đến Cơ quan chuyên môn về thể dục, thể thao thuộc Ủy ban nhân dân cấp tỉnh nơi đăng ký địa điểm kinh doanh hoạt động thể thao hoặc nơi doanh nghiệp có trụ sở chính trường hợp doanh nghiệp có nhiều địa điểm kinh doanh hoạt động thể thao.
- Cơ quan chuyên môn về thể dục, thể thao thuộc Ủy ban nhân dân cấp tỉnh (sau đây gọi là cơ quan cấp Giấy chứng nhận) cấp cho doanh nghiệp giấy tiếp nhận hồ sơ.
- Trường hợp hồ sơ cần sửa đổi, bổ sung, cơ quan cấp Giấy chứng nhận thông báo trực tiếp hoặc bằng văn bản những nội dung cần sửa đổi, bổ sung đến doanh nghiệp trong thời hạn 03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(Do Hội đồng nhân dân cấp tỉnh, thành phố trực thuộc Trung ương quy định.)</w:t>
            </w:r>
          </w:p>
        </w:tc>
        <w:tc>
          <w:p/>
          <w:p>
            <w:pPr>
              <w:spacing w:after="0" w:before="0" w:lineRule="auto" w:line="276"/>
              <w:jc w:val="left"/>
            </w:pPr>
            <w:r>
              <w:rPr>
                <w:rFonts w:ascii="Times New Roman" w:hAnsi="Times New Roman" w:cs="Times New Roman" w:eastAsia="Times New Roman"/>
                <w:b w:val="false"/>
                <w:sz w:val="26"/>
              </w:rPr>
              <w:t>Trong thời hạn bảy (07)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(Do Hội đồng nhân dân cấp tỉnh, thành phố trực thuộc Trung ương quy định.)</w:t>
            </w:r>
          </w:p>
        </w:tc>
        <w:tc>
          <w:p/>
          <w:p>
            <w:pPr>
              <w:spacing w:after="0" w:before="0" w:lineRule="auto" w:line="276"/>
              <w:jc w:val="left"/>
            </w:pPr>
            <w:r>
              <w:rPr>
                <w:rFonts w:ascii="Times New Roman" w:hAnsi="Times New Roman" w:cs="Times New Roman" w:eastAsia="Times New Roman"/>
                <w:b w:val="false"/>
                <w:sz w:val="26"/>
              </w:rPr>
              <w:t>Trong thời hạn bảy (07)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(Do Hội đồng nhân dân cấp tỉnh, thành phố trực thuộc Trung ương quy định.)</w:t>
            </w:r>
          </w:p>
        </w:tc>
        <w:tc>
          <w:p/>
          <w:p>
            <w:pPr>
              <w:spacing w:after="0" w:before="0" w:lineRule="auto" w:line="276"/>
              <w:jc w:val="left"/>
            </w:pPr>
            <w:r>
              <w:rPr>
                <w:rFonts w:ascii="Times New Roman" w:hAnsi="Times New Roman" w:cs="Times New Roman" w:eastAsia="Times New Roman"/>
                <w:b w:val="false"/>
                <w:sz w:val="26"/>
              </w:rPr>
              <w:t>Trong thời hạn bảy (07)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Bản tóm tắt tình hình chuẩn bị các điều kiện kinh doanh theo Mẫu số 03 ban hành kèm theo Nghị định số 36/2019/NĐ-CP ngày 29/4/2019 quy định chi tiết một số điều của Luật sửa đổi, bổ sung một số điều của Luật Thể dục, thể thao, gồm: + Đội ngũ cán bộ, nhân viên thể thao đáp ứng yêu cầu hoạt động thể thao chuyên nghiệp. + Vận động viên chuyên nghiệp, huấn luyện viên chuyên nghiệp. + Cơ sở vật chất, trang thiết bị phù hợp với hoạt động thể thao chuyên nghiệp.</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thể dục, thể thao thuộc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Phí và lệ phí</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15-03-2024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Huấn luyện viên thể thao chuyên nghiệp phải đáp ứng một trong các điều kiện sau đây:
- Có bằng tốt nghiệp đại học thể dục thể thao chuyên ngành phù hợp với hoạt động của môn thể thao chuyên nghiệp và hoàn thành chương trình đào tạo huấn luyện viên chuyên nghiệp của liên đoàn thể thao quốc gia.
- Có bằng huấn luyện viên chuyên nghiệp do liên đoàn thể thao châu lục hoặc thế giới của môn thể thao chuyên nghiệp cấp.
- Có bằng huấn luyện viên chuyên nghiệp của nước ngoài được liên đoàn thể thao châu lục hoặc thế giới của môn thể thao chuyên nghiệp công nhận.
(2) Vận động viên chuyên nghiệp phải đáp ứng các điều kiện sau đây:
-  Có hợp đồng lao động với câu lạc bộ thể thao chuyên nghiệp.
-  Được liên đoàn thể thao quốc gia công nhận là vận động viên chuyên nghiệp. Trường hợp vận động viên là người nước ngoài tham gia thi đấu thể thao chuyên nghiệp tại Việt Nam phải có chứng nhận chuyển nhượng quốc tế và Giấy phép lao động theo quy định pháp luật về lao động.
(3) Nhân viên y tế thường trực trong các buổi tập luyện và thi đấu thể thao chuyên nghiệp hoặc nhân viên y tế của cơ sở y tế mà câu lạc bộ thể thao chuyên nghiệp ký hợp đồng để sơ cứu, cấp cứu người tham gia hoạt động thể thao chuyên nghiệp trong trường hợp cần thiết phải có trình độ chuyên môn từ cao đẳng y tế trở lên.
(4) Cơ sở vật chất, trang thiết bị tập luyện và thi đấu thể thao chuyên nghiệp phải đảm bảo quy chuẩn kỹ thuật quốc gia, tiêu chuẩn Việt Nam hoặc tiêu chuẩn quốc tế và phù hợp với quy định của các tổ chức thể thao chuyên nghiệp quốc tế.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2026-05-22T12:02:55Z</dcterms:created>
  <dc:creator>Apache POI</dc:creator>
</cp:coreProperties>
</file>