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việc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quản lý thuyền viên, cá nhân nộp 01 bộ hồ sơ đề nghị xác nhận việc cấp Giấy chứng nhận trực tiếp hoặc gửi qua đường bưu chính hoặc qua hệ thống dịch vụ công trực tuyến đến Cục Hàng hải và Đường thủy Việt Nam hoặc Chi cục hàng hải và đường thủy hoặc Cảng vụ hàng hải/Cảng vụ đường thủy nội địa được Cục Hàng hải và Đường thủy Việt Nam ủy quyền.</w:t>
      </w:r>
    </w:p>
    <w:p>
      <w:pPr>
        <w:spacing w:after="0" w:before="0" w:lineRule="auto" w:line="276"/>
        <w:jc w:val="both"/>
      </w:pPr>
      <w:r>
        <w:rPr>
          <w:rFonts w:ascii="Times New Roman" w:hAnsi="Times New Roman" w:cs="Times New Roman" w:eastAsia="Times New Roman"/>
          <w:b w:val="false"/>
          <w:sz w:val="26"/>
        </w:rPr>
        <w:t>b) Giải quyết TTHC:
- Cục Hàng hải và Đường thủy Việt Nam hoặc Chi cục hàng hải và đường thủy hoặc Cảng vụ hàng hải/Cảng vụ đường thủy nội địa được Cục Hàng hải và Đường thủy Việt Nam ủy quyền tiếp nhận hồ sơ, kiểm tra thành phần, số lượng hồ sơ theo quy định, vào sổ và hẹn trả kết quả đúng thời hạn quy định.
- Trường hợp nộp trực tiếp, nếu hồ sơ không đầy đủ theo quy định thì trả lại hồ sơ và hướng dẫn ngay cho tổ chức, cá nhân hoàn thiện lại hồ sơ theo quy định;
- Trường hợp nhận hồ sơ qua hệ thống bưu chính hoặc qua hệ thống dịch vụ công trực tuyến, nếu hồ sơ không đầy đủ theo quy định thì Cục Hàng hải và Đường thủy Việt Nam hoặc Chi cục hàng hải và đường thủy hoặc Cảng vụ hàng hải/Cảng vụ đường thủy nội địa được Cục Hàng hải và Đường thủy Việt Nam ủy quyền thông báo bằng văn bản chậm nhất 02 ngày làm việc, kể từ ngày nhận được hồ sơ;
-  Trong thời hạn 02 ngày làm việc, kể từ ngày nhận đủ hồ sơ hợp lệ theo quy định, Cục Hàng hải và Đường thủy Việt Nam hoặc Chi cục hàng hải và đường thủy hoặc Cảng vụ hàng hải/Cảng vụ đường thủy nội địa được Cục Hàng hải và Đường thủy Việt Nam ủy quyền cấp Giấy xác nhận theo mẫu quy định tại Phụ lục I của Thông tư 20/2023/TT-BGTVT,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đồng/Giấy xác nhận Đồng</w:t>
              <w:br/>
              <w:t>File đính kèm: 189.PDF</w:t>
            </w:r>
          </w:p>
        </w:tc>
        <w:tc>
          <w:p/>
          <w:p>
            <w:pPr>
              <w:spacing w:after="0" w:before="0" w:lineRule="auto" w:line="276"/>
              <w:jc w:val="left"/>
            </w:pPr>
            <w:r>
              <w:rPr>
                <w:rFonts w:ascii="Times New Roman" w:hAnsi="Times New Roman" w:cs="Times New Roman" w:eastAsia="Times New Roman"/>
                <w:b w:val="false"/>
                <w:sz w:val="26"/>
              </w:rPr>
              <w:t>- 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đồng/Giấy chứng nhận Đồng</w:t>
              <w:br/>
              <w:t>File đính kèm: 189.PDF</w:t>
            </w:r>
          </w:p>
        </w:tc>
        <w:tc>
          <w:p/>
          <w:p>
            <w:pPr>
              <w:spacing w:after="0" w:before="0" w:lineRule="auto" w:line="276"/>
              <w:jc w:val="left"/>
            </w:pPr>
            <w:r>
              <w:rPr>
                <w:rFonts w:ascii="Times New Roman" w:hAnsi="Times New Roman" w:cs="Times New Roman" w:eastAsia="Times New Roman"/>
                <w:b w:val="false"/>
                <w:sz w:val="26"/>
              </w:rPr>
              <w:t>- 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đồng/Giấy xác nhận Đồng</w:t>
              <w:br/>
              <w:t>File đính kèm: 189.PDF</w:t>
            </w:r>
          </w:p>
        </w:tc>
        <w:tc>
          <w:p/>
          <w:p>
            <w:pPr>
              <w:spacing w:after="0" w:before="0" w:lineRule="auto" w:line="276"/>
              <w:jc w:val="left"/>
            </w:pPr>
            <w:r>
              <w:rPr>
                <w:rFonts w:ascii="Times New Roman" w:hAnsi="Times New Roman" w:cs="Times New Roman" w:eastAsia="Times New Roman"/>
                <w:b w:val="false"/>
                <w:sz w:val="26"/>
              </w:rPr>
              <w:t>- 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của thuyền viên theo mẫu hoặc văn bản đề nghị của tổ chức quản lý thuyền viên theo mẫu;</w:t>
            </w:r>
          </w:p>
        </w:tc>
        <w:tc>
          <w:p/>
          <w:p>
            <w:pPr>
              <w:spacing w:after="0" w:before="0" w:lineRule="auto" w:line="276"/>
              <w:jc w:val="left"/>
            </w:pPr>
            <w:r>
              <w:rPr>
                <w:rFonts w:ascii="Times New Roman" w:hAnsi="Times New Roman" w:cs="Times New Roman" w:eastAsia="Times New Roman"/>
                <w:b w:val="false"/>
                <w:sz w:val="26"/>
              </w:rPr>
              <w:t>Mẫu đơn.docx</w:t>
            </w:r>
          </w:p>
          <w:p>
            <w:pPr>
              <w:spacing w:after="0" w:before="0" w:lineRule="auto" w:line="276"/>
              <w:jc w:val="left"/>
            </w:pPr>
            <w:r>
              <w:rPr>
                <w:rFonts w:ascii="Times New Roman" w:hAnsi="Times New Roman" w:cs="Times New Roman" w:eastAsia="Times New Roman"/>
                <w:b w:val="false"/>
                <w:sz w:val="26"/>
              </w:rPr>
              <w:t>MẪU VĂN BẢN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cấp từ sổ gốc hoặc bản sao điện tử được chứng thực từ bản chính: Giấy chứng nhận GOC, ROC, GCNHLNVĐB;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đối với trường hợp nộp hồ sơ trực tiếp hoặc qua đường bưu điện, 01 tệp (file) ảnh đối với trường hợp nộp hồ sơ trên môi trường điện tử cỡ 3cm x 4cm, nền trắng, chụp trong vòng 06 tháng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Cảng vụ hàng hải, Chi cục Hàng hải, Chi cục đường thủy nội địa,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 Cảng vụ hàng hải, Chi cục Hàng hải, Chi cục đường thủy nội địa,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hải Việt Nam hoặc Chi cục hàng hải hoặc Cảng vụ hàng hải được Cục Hàng hải Việt Nam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việc cấp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20/2023/TT-BGTVT</w:t>
            </w:r>
          </w:p>
        </w:tc>
        <w:tc>
          <w:p/>
          <w:p>
            <w:pPr>
              <w:spacing w:after="0" w:before="0" w:lineRule="auto" w:line="276"/>
              <w:jc w:val="left"/>
            </w:pPr>
            <w:r>
              <w:rPr>
                <w:rFonts w:ascii="Times New Roman" w:hAnsi="Times New Roman" w:cs="Times New Roman" w:eastAsia="Times New Roman"/>
                <w:b w:val="false"/>
                <w:sz w:val="26"/>
              </w:rPr>
              <w:t>Thông tư quy định về tiêu chuẩn chuyên môn, chứng chỉ chuyên môn, đào tạo, huấn luyện thuyền viên và định biên an toàn tối thiểu của tàu biển Việt Nam</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2026-05-18T12:40:27Z</dcterms:created>
  <dc:creator>Apache POI</dc:creator>
</cp:coreProperties>
</file>