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sửa đổi, bổ sung nội dung Giấy phép sử dụng tần số và thiết bị vô tuyến điện đối với đài vô tuyến điện của đoàn đại biểu cấp cao nước ngoài được hưởng quy chế ưu đãi, miễn trừ ngoại giao, phóng viên nước ngoài đi theo phục vụ đoàn (trừ đài vệ tinh trái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1</w:t>
      </w:r>
    </w:p>
    <w:p>
      <w:pPr>
        <w:spacing w:after="0" w:before="0" w:lineRule="auto" w:line="276"/>
        <w:jc w:val="both"/>
      </w:pPr>
      <w:r>
        <w:rPr>
          <w:rFonts w:ascii="Times New Roman" w:hAnsi="Times New Roman" w:cs="Times New Roman" w:eastAsia="Times New Roman"/>
          <w:b w:val="false"/>
          <w:sz w:val="26"/>
        </w:rPr>
        <w:t>Tổ chức, cá nhân chuẩn bị hồ sơ theo thành phần, số lượng hướng dẫn dưới đây.</w:t>
      </w:r>
    </w:p>
    <w:p>
      <w:pPr>
        <w:shd w:val="clear" w:color="auto" w:fill="F2F6F9"/>
        <w:spacing w:after="0" w:before="120" w:lineRule="auto" w:line="276"/>
        <w:jc w:val="both"/>
      </w:pPr>
      <w:r>
        <w:rPr>
          <w:rFonts w:ascii="Times New Roman" w:hAnsi="Times New Roman" w:cs="Times New Roman" w:eastAsia="Times New Roman"/>
          <w:b w:val="true"/>
          <w:sz w:val="26"/>
        </w:rPr>
        <w:t>Trường hợp 2</w:t>
      </w:r>
    </w:p>
    <w:p>
      <w:pPr>
        <w:spacing w:after="0" w:before="0" w:lineRule="auto" w:line="276"/>
        <w:jc w:val="both"/>
      </w:pPr>
      <w:r>
        <w:rPr>
          <w:rFonts w:ascii="Times New Roman" w:hAnsi="Times New Roman" w:cs="Times New Roman" w:eastAsia="Times New Roman"/>
          <w:b w:val="false"/>
          <w:sz w:val="26"/>
        </w:rPr>
        <w:t>- Tổ chức, cá nhân nộp hồ sơ theo cách thức và đến địa chỉ tiếp nhận hồ sơ như dưới đây.</w:t>
      </w:r>
    </w:p>
    <w:p>
      <w:pPr>
        <w:shd w:val="clear" w:color="auto" w:fill="F2F6F9"/>
        <w:spacing w:after="0" w:before="120" w:lineRule="auto" w:line="276"/>
        <w:jc w:val="both"/>
      </w:pPr>
      <w:r>
        <w:rPr>
          <w:rFonts w:ascii="Times New Roman" w:hAnsi="Times New Roman" w:cs="Times New Roman" w:eastAsia="Times New Roman"/>
          <w:b w:val="true"/>
          <w:sz w:val="26"/>
        </w:rPr>
        <w:t>Cục Tần số vô tuyến điện thụ lý hồ sơ cấp phép:</w:t>
      </w:r>
    </w:p>
    <w:p>
      <w:pPr>
        <w:spacing w:after="0" w:before="0" w:lineRule="auto" w:line="276"/>
        <w:jc w:val="both"/>
      </w:pPr>
      <w:r>
        <w:rPr>
          <w:rFonts w:ascii="Times New Roman" w:hAnsi="Times New Roman" w:cs="Times New Roman" w:eastAsia="Times New Roman"/>
          <w:b w:val="false"/>
          <w:sz w:val="26"/>
        </w:rPr>
        <w:t>+ Cục Tần số vô tuyến điện giải quyết cấp, gia hạn, sửa đổi, bổ sung nội dung giấy phép trong thời hạn 20 ngày làm việc, kể từ ngày nhận đủ hồ sơ theo quy định.</w:t>
      </w:r>
    </w:p>
    <w:p>
      <w:pPr>
        <w:spacing w:after="0" w:before="0" w:lineRule="auto" w:line="276"/>
        <w:jc w:val="both"/>
      </w:pPr>
      <w:r>
        <w:rPr>
          <w:rFonts w:ascii="Times New Roman" w:hAnsi="Times New Roman" w:cs="Times New Roman" w:eastAsia="Times New Roman"/>
          <w:b w:val="false"/>
          <w:sz w:val="26"/>
        </w:rPr>
        <w:t xml:space="preserve">   + Trường hợp đặc biệt, khi hồ sơ đề nghị cấp, sửa đổi, bổ sung nội dung giấy phép sử dụng tần số vô tuyến điện của cùng một tổ chức, gửi trong vòng 20 ngày làm việc có số lượng tần số vô tuyến điện cần phải ấn định vượt quá 100 tần số thì trong thời hạn 5 ngày làm việc kể từ ngày nhận đủ hồ sơ theo quy định, Cục Tần số số vô tuyến điện thông báo bằng văn bản l‎‎ý do và dự kiến thời gian giải quyết (tối đa không quá 6 tháng) cho tổ chức đề nghị cấp giấy phép.</w:t>
      </w:r>
    </w:p>
    <w:p>
      <w:pPr>
        <w:spacing w:after="0" w:before="0" w:lineRule="auto" w:line="276"/>
        <w:jc w:val="both"/>
      </w:pPr>
      <w:r>
        <w:rPr>
          <w:rFonts w:ascii="Times New Roman" w:hAnsi="Times New Roman" w:cs="Times New Roman" w:eastAsia="Times New Roman"/>
          <w:b w:val="false"/>
          <w:sz w:val="26"/>
        </w:rPr>
        <w:t xml:space="preserve"> + Nếu hồ sơ chưa đầy đủ, chưa hợp lệ thì trong thời hạn 05 ngày làm việc kể từ ngày nhận được hồ sơ, Cục Tần số vô tuyến điện có trách nhiệm thông báo, hướng dẫn bằng văn bản cho tổ chức để bổ sung, hoàn thiện hồ sơ.</w:t>
      </w:r>
    </w:p>
    <w:p>
      <w:pPr>
        <w:spacing w:after="0" w:before="0" w:lineRule="auto" w:line="276"/>
        <w:jc w:val="both"/>
      </w:pPr>
      <w:r>
        <w:rPr>
          <w:rFonts w:ascii="Times New Roman" w:hAnsi="Times New Roman" w:cs="Times New Roman" w:eastAsia="Times New Roman"/>
          <w:b w:val="false"/>
          <w:sz w:val="26"/>
        </w:rPr>
        <w:t xml:space="preserve">  + Trường hợp từ chối cấp giấy phép, Cục Tần số vô tuyến điện thông báo bằng văn bản nêu rõ lý do từ chối cho tổ chức, trong thời hạn 20 ngày làm việc hoặc tối đa không quá 6 tháng đối với trường hợp đặc biệt.</w:t>
      </w:r>
    </w:p>
    <w:p>
      <w:pPr>
        <w:spacing w:after="0" w:before="0" w:lineRule="auto" w:line="276"/>
        <w:jc w:val="both"/>
      </w:pPr>
      <w:r>
        <w:rPr>
          <w:rFonts w:ascii="Times New Roman" w:hAnsi="Times New Roman" w:cs="Times New Roman" w:eastAsia="Times New Roman"/>
          <w:b w:val="false"/>
          <w:sz w:val="26"/>
        </w:rPr>
        <w:t>+ Đối với trường hợp phải thay đổi tần số do không xử lý được nhiễu có hại, thời hạn giải quyết cấp giấy phép không quá 10 ngày làm việc kể từ ngày có kết luận về xử lý nhiễu có hại.</w:t>
      </w:r>
    </w:p>
    <w:p>
      <w:pPr>
        <w:shd w:val="clear" w:color="auto" w:fill="F2F6F9"/>
        <w:spacing w:after="0" w:before="120" w:lineRule="auto" w:line="276"/>
        <w:jc w:val="both"/>
      </w:pPr>
      <w:r>
        <w:rPr>
          <w:rFonts w:ascii="Times New Roman" w:hAnsi="Times New Roman" w:cs="Times New Roman" w:eastAsia="Times New Roman"/>
          <w:b w:val="true"/>
          <w:sz w:val="26"/>
        </w:rPr>
        <w:t>Trường hợp 3</w:t>
      </w:r>
    </w:p>
    <w:p>
      <w:pPr>
        <w:spacing w:after="0" w:before="0" w:lineRule="auto" w:line="276"/>
        <w:jc w:val="both"/>
      </w:pPr>
      <w:r>
        <w:rPr>
          <w:rFonts w:ascii="Times New Roman" w:hAnsi="Times New Roman" w:cs="Times New Roman" w:eastAsia="Times New Roman"/>
          <w:b w:val="false"/>
          <w:sz w:val="26"/>
        </w:rPr>
        <w:t>Tổ chức, cá nhân nộp phí theo thông báo; sau đó nhận giấy phép tại nơi thu phí và lệ phí; hoặc qua hệ thống bưu chính.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Cục Tần số vô tuyến điện; hoặc các Trung tâm Tần số vô tuyến điện khu vực; hoặc các cơ quan phối hợp do Cục Tần số vô tuyến điện ủy quyền;
20 ngày làm việc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đầy đủ, đúng quy định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đầy đủ,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cấp mới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tương ứng quy định tại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của Bộ Ngoại giao (đối với đài vô tuyến điện của cơ quan đại diện ngoại giao, cơ quan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gia hạn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tương ứng quy định tại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sửa đổi, bổ sung nội dung giấy phép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tương ứng quy định tại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giải thích nội dung cần sửa đổi, bổ sung (khi được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Cục Tần số vô tuyến điện. Số 115 đường Trần Duy Hưng, phường Trung Hòa, quận Cầu Giấy, Thành phố Hà Nội;  - Hoặc các Trung tâm Tần số vô tuyến điện khu vực thuộc Cục Tần số vô tuyến điện. Xem địa chỉ tại đây: http://www.rfd.gov.vn/gioi-thieu/co-cau-to-chuc/pages/cac-trung-tam.aspx;  - Hoặc các cơ quan phối hợp khác do Cục Tần số vô tuyến điện ủy quyền. Xem Danh sách các cơ quan phối hợp tại: http://www.rfd.gov.vn/tin-tuc/pages/thong-bao.aspx.  - Hoặc Hệ thống Đăng ký - Cấp giấy phép qua mạng của Cục Tần số VTĐ. Địa chỉ truy cập: http://capphepquamang.rfd.gov.vn/dangkyquamang/trangchu.aspx</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41/2009/QH12</w:t>
            </w:r>
          </w:p>
        </w:tc>
        <w:tc>
          <w:p/>
          <w:p>
            <w:pPr>
              <w:spacing w:after="0" w:before="0" w:lineRule="auto" w:line="276"/>
              <w:jc w:val="left"/>
            </w:pPr>
            <w:r>
              <w:rPr>
                <w:rFonts w:ascii="Times New Roman" w:hAnsi="Times New Roman" w:cs="Times New Roman" w:eastAsia="Times New Roman"/>
                <w:b w:val="false"/>
                <w:sz w:val="26"/>
              </w:rPr>
              <w:t>Luật 41/2009/QH12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05/2015/TT-BTTTT	</w:t>
            </w:r>
          </w:p>
        </w:tc>
        <w:tc>
          <w:p/>
          <w:p>
            <w:pPr>
              <w:spacing w:after="0" w:before="0" w:lineRule="auto" w:line="276"/>
              <w:jc w:val="left"/>
            </w:pPr>
            <w:r>
              <w:rPr>
                <w:rFonts w:ascii="Times New Roman" w:hAnsi="Times New Roman" w:cs="Times New Roman" w:eastAsia="Times New Roman"/>
                <w:b w:val="false"/>
                <w:sz w:val="26"/>
              </w:rPr>
              <w:t>Thông tư 05/2015/TT-BTTTT</w:t>
            </w:r>
          </w:p>
        </w:tc>
        <w:tc>
          <w:p/>
          <w:p>
            <w:pPr>
              <w:spacing w:after="0" w:before="0" w:lineRule="auto" w:line="276"/>
              <w:jc w:val="left"/>
            </w:pPr>
            <w:r>
              <w:rPr>
                <w:rFonts w:ascii="Times New Roman" w:hAnsi="Times New Roman" w:cs="Times New Roman" w:eastAsia="Times New Roman"/>
                <w:b w:val="false"/>
                <w:sz w:val="26"/>
              </w:rPr>
              <w:t>23-03-2015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cấp giấy phép sử dụng tần số và thiết bị vô tuyến điện: 
        + Sử dụng tần số và thiết bị vô tuyến điện vào mục đích và nghiệp vụ vô tuyến điện mà pháp luật không cấm;
        + Có giấy phép viễn thông theo quy định của pháp luật về viễn thông đối với tổ chức xin cấp giấy phép sử dụng tần số vô tuyến điện để thiết lập mạng viễn thông, mạng truyền dẫn phát sóng phát thanh truyền hình.
        + Có giấy phép hoạt động báo chí hoặc được quyền phát lại chương trình phát thanh, truyền hình theo quy định của pháp luật.
        + Có phương án sử dụng tần số vô tuyến điện khả thi, phù hợp với quy hoạch tần số vô tuyến điện.
        + Có thiết bị vô tuyến điện phù hợp quy chuẩn kỹ thuật về phát xạ vô tuyến điện, an toàn bức xạ vô tuyến điện và tương thích điện từ.
        + Cam kết thực hiện quy định của pháp luật về bảo đảm an toán, an ninh thông tin; kiểm tra, giải quyết nhiễu có hại và an toàn bức xạ vô tuyến điện.
        + Có chứng chỉ vô tuyến điện viên đối với người khai thác thiết bị vô tuyến điện thuộc nghiệp vụ di động hàng hải, di động hàng không, vô tuyến điện nghiệp dư.
- Điều kiện gia hạn giấy phép sử dụng tần số vô tuyến điện:
        + Tổ chức, cá nhân được cấp giấy phép thực hiện đầy đủ nghĩa vụ được quy định cho từng loại giấy phép sử dụng tần số vô tuyến điện tương ứng;
        + Thời hạn hiệu lực của giấy phép còn lại ít nhất là 30 ngày;
        + Tổng thời hạn cấp lần đầu và các lần gia hạn giấy phép không vượt quá thời hạn tối đa quy định cho từng loại giấy phép sử dụng tần số vô tuyến điện tương ứng; trường hợp cấp lần đầu bằng thời hạn tối đa quy định cho loại giấy phép tương ứng thì chỉ được xem xét gia hạn tối đa là một năm.
- Điều kiện sửa đổi, bổ sung giấy phép sử dụng tần số vô tuyến điện:
        + Giấy phép sử dụng tần số vô tuyến điện còn hiệu lực;
        + Tổ chức, cá nhân được cấp giấy phép thực hiện đầy đủ nghĩa vụ quy định cho từng loại giấy phép sử dụng tần số vô tuyến điện tương ứng;
        + Việc sửa đổi, bổ sung phải phù hợp với quy định tại các Điều 19, 20 và 21 của Luật Tần số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2026-05-19T14:16:19Z</dcterms:created>
  <dc:creator>Apache POI</dc:creator>
</cp:coreProperties>
</file>