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thực vật quá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vật thể nộp trực tiếp 01 bộ hồ sơ đăng ký cho cơ quan kiểm dịch thực vật nơi gần nhất.</w:t>
      </w:r>
    </w:p>
    <w:p>
      <w:pPr>
        <w:spacing w:after="0" w:before="0" w:lineRule="auto" w:line="276"/>
        <w:jc w:val="both"/>
      </w:pPr>
      <w:r>
        <w:rPr>
          <w:rFonts w:ascii="Times New Roman" w:hAnsi="Times New Roman" w:cs="Times New Roman" w:eastAsia="Times New Roman"/>
          <w:b w:val="false"/>
          <w:sz w:val="26"/>
        </w:rPr>
        <w:t>Bước 2: Cơ quan kiểm dịch thực vật có trách nhiệm tiếp nhận và kiểm tra ngay tính hợp lệ của hồ sơ theo quy định. Trường hợp hồ sơ không hợp lệ thì yêu cầu chủ vật thể bổ sung, hoàn thiện hồ sơ.</w:t>
      </w:r>
    </w:p>
    <w:p>
      <w:pPr>
        <w:spacing w:after="0" w:before="0" w:lineRule="auto" w:line="276"/>
        <w:jc w:val="both"/>
      </w:pPr>
      <w:r>
        <w:rPr>
          <w:rFonts w:ascii="Times New Roman" w:hAnsi="Times New Roman" w:cs="Times New Roman" w:eastAsia="Times New Roman"/>
          <w:b w:val="false"/>
          <w:sz w:val="26"/>
        </w:rPr>
        <w:t>Bước 3: Căn cứ kết quả kiểm tra hồ sơ, cơ quan kiểm dịch thực vật quyết định địa điểm và bố trí công chức kiểm tra ngay lô vật thể.</w:t>
      </w:r>
    </w:p>
    <w:p>
      <w:pPr>
        <w:spacing w:after="0" w:before="0" w:lineRule="auto" w:line="276"/>
        <w:jc w:val="both"/>
      </w:pPr>
      <w:r>
        <w:rPr>
          <w:rFonts w:ascii="Times New Roman" w:hAnsi="Times New Roman" w:cs="Times New Roman" w:eastAsia="Times New Roman"/>
          <w:b w:val="false"/>
          <w:sz w:val="26"/>
        </w:rPr>
        <w:t xml:space="preserve">Bước 4: Cơ quan kiểm dịch thực vật cấp Giấy chứng nhận kiểm dịch thực vật nhập khẩu, quá cảnh và vận chuyển nội địa cho lô vật thể trong vòng 24 giờ kể từ khi bắt đầu kiểm dịch đối với lô vật thể đáp ứng yêu cầu kiểm dịch thực vật quá cảnh.
+ Trường hợp phát hiện lô vật thể bị nhiễm đối tượng kiểm dịch thực vật hoặc đối tượng phải kiểm soát của Việt Nam hoặc sinh vật gây hại lạ thì cơ quan kiểm dịch thực vật quyết định áp dụng các biện pháp xử lý kiểm dịch thực vật phù hợp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(Mục III, Phí kiểm dịch thực vật kèm theo Thông tư số 33/2021/TT-BTC ngày 17/5/2021)</w:t>
            </w:r>
          </w:p>
        </w:tc>
        <w:tc>
          <w:p/>
          <w:p>
            <w:pPr>
              <w:spacing w:after="0" w:before="0" w:lineRule="auto" w:line="276"/>
              <w:jc w:val="left"/>
            </w:pPr>
            <w:r>
              <w:rPr>
                <w:rFonts w:ascii="Times New Roman" w:hAnsi="Times New Roman" w:cs="Times New Roman" w:eastAsia="Times New Roman"/>
                <w:b w:val="false"/>
                <w:sz w:val="26"/>
              </w:rPr>
              <w:t>Hồ sơ được nộp trực tiếp cho cơ quan kiểm dịch thực vật.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đăng ký kiểm dịch thực vật (theo mẫu qui định tại Phụ lục I ban hành kèm theo Thông tư 33/2014/TT-BNNPTNT).</w:t>
            </w:r>
          </w:p>
        </w:tc>
        <w:tc>
          <w:p/>
          <w:p>
            <w:pPr>
              <w:spacing w:after="0" w:before="0" w:lineRule="auto" w:line="276"/>
              <w:jc w:val="left"/>
            </w:pPr>
            <w:r>
              <w:rPr>
                <w:rFonts w:ascii="Times New Roman" w:hAnsi="Times New Roman" w:cs="Times New Roman" w:eastAsia="Times New Roman"/>
                <w:b w:val="false"/>
                <w:sz w:val="26"/>
              </w:rPr>
              <w:t>33.2014.TT.BNNPTNT.doc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chụp hoặc bản điện tử hoặc bản chính Giấy chứng nhận kiểm dịch thực vật do nước xuất khẩu cấp. Trường hợp chủ vật thể nộp bản sao chụp hoặc bản điện tử, phải nộp bản chính trước khi được cấp Giấy chứng nhận kiểm dịch thực vật nhập khẩu, quá cảnh và vận chuyển nội địa cho lô vật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điện tử hoặc bản chính hoặc bản sao chứng thực Giấy phép kiểm dịch thực vật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Trồng trọt và Bảo vệ thực vật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quan kiểm dịch thực vật (bao gồm các Chi cục Kiểm dịch thực vật vùng I, II, III, IV, V, VI, VII, VIII và IX; các trạm kiểm dịch thực vật tại cửa khẩu).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thực vật nhập khẩu, quá cảnh và vận chuyển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Bảo vệ và kiểm dịch thực vật</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33/2014/TT-BNNPTNT</w:t>
            </w:r>
          </w:p>
        </w:tc>
        <w:tc>
          <w:p/>
          <w:p>
            <w:pPr>
              <w:spacing w:after="0" w:before="0" w:lineRule="auto" w:line="276"/>
              <w:jc w:val="left"/>
            </w:pPr>
            <w:r>
              <w:rPr>
                <w:rFonts w:ascii="Times New Roman" w:hAnsi="Times New Roman" w:cs="Times New Roman" w:eastAsia="Times New Roman"/>
                <w:b w:val="false"/>
                <w:sz w:val="26"/>
              </w:rPr>
              <w:t>Quy định trình tự, thủ tục kiểm dịch thực vật nhập, xuất khẩu, quá cảnh và sau nhập khẩu vật thể thuộc diện kiểm dịch thực vật do Bộ trưởng Bộ Nông nghiệp và Phát triển nông thôn ban hành</w:t>
            </w:r>
          </w:p>
        </w:tc>
        <w:tc>
          <w:p/>
          <w:p>
            <w:pPr>
              <w:spacing w:after="0" w:before="0" w:lineRule="auto" w:line="276"/>
              <w:jc w:val="left"/>
            </w:pPr>
            <w:r>
              <w:rPr>
                <w:rFonts w:ascii="Times New Roman" w:hAnsi="Times New Roman" w:cs="Times New Roman" w:eastAsia="Times New Roman"/>
                <w:b w:val="false"/>
                <w:sz w:val="26"/>
              </w:rPr>
              <w:t>30-10-2014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trong hoạt động kiểm dịch và bảo vệ thực vật thuộc lĩnh vực nông nghiệp</w:t>
            </w:r>
          </w:p>
        </w:tc>
        <w:tc>
          <w:p/>
          <w:p>
            <w:pPr>
              <w:spacing w:after="0" w:before="0" w:lineRule="auto" w:line="276"/>
              <w:jc w:val="left"/>
            </w:pPr>
            <w:r>
              <w:rPr>
                <w:rFonts w:ascii="Times New Roman" w:hAnsi="Times New Roman" w:cs="Times New Roman" w:eastAsia="Times New Roman"/>
                <w:b w:val="false"/>
                <w:sz w:val="26"/>
              </w:rPr>
              <w:t>17-05-2021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15/2021/TT-BNNPTNT</w:t>
            </w:r>
          </w:p>
        </w:tc>
        <w:tc>
          <w:p/>
          <w:p>
            <w:pPr>
              <w:spacing w:after="0" w:before="0" w:lineRule="auto" w:line="276"/>
              <w:jc w:val="left"/>
            </w:pPr>
            <w:r>
              <w:rPr>
                <w:rFonts w:ascii="Times New Roman" w:hAnsi="Times New Roman" w:cs="Times New Roman" w:eastAsia="Times New Roman"/>
                <w:b w:val="false"/>
                <w:sz w:val="26"/>
              </w:rPr>
              <w:t>Thông tư 15/2021/TT-BNNPTNT</w:t>
            </w:r>
          </w:p>
        </w:tc>
        <w:tc>
          <w:p/>
          <w:p>
            <w:pPr>
              <w:spacing w:after="0" w:before="0" w:lineRule="auto" w:line="276"/>
              <w:jc w:val="left"/>
            </w:pPr>
            <w:r>
              <w:rPr>
                <w:rFonts w:ascii="Times New Roman" w:hAnsi="Times New Roman" w:cs="Times New Roman" w:eastAsia="Times New Roman"/>
                <w:b w:val="false"/>
                <w:sz w:val="26"/>
              </w:rPr>
              <w:t>06-12-2021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2026-05-24T15:41:05Z</dcterms:created>
  <dc:creator>Apache POI</dc:creator>
</cp:coreProperties>
</file>