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hợp đồng, giao dịch liên quan đến tài sản là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bộ hồ sơ yêu cầu chứng thực.</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hợp đồng, giao dịch tự nguyện, minh mẫn và nhận thức, làm chủ được hành vi của mình thì tiếp nhận hồ sơ, thực hiện chứng thực.</w:t>
      </w:r>
    </w:p>
    <w:p>
      <w:pPr>
        <w:spacing w:after="0" w:before="0" w:lineRule="auto" w:line="276"/>
        <w:jc w:val="both"/>
      </w:pPr>
      <w:r>
        <w:rPr>
          <w:rFonts w:ascii="Times New Roman" w:hAnsi="Times New Roman" w:cs="Times New Roman" w:eastAsia="Times New Roman"/>
          <w:b w:val="false"/>
          <w:sz w:val="26"/>
        </w:rPr>
        <w:t>+ Các bên tham gia hợp đồng, giao dịch phải ký trước mặt người thực hiện chứng thực, nếu hợp đồng có từ hai trang trở lên thì phải ký vào từng trang. Trường hợp người yêu cầu chứng thực nộp hồ sơ tại bộ phận một cửa, một cửa liên thông thì các bên tham gia hợp đồng,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phải đối chiếu chữ ký của họ trong hợp đồng với chữ ký mẫu trước khi thực hiện chứng thực, nếu nghi ngờ chữ ký trong hợp đồng khác với chữ ký mẫu thì yêu cầu người đó ký trước mặt.</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ghi lời chứng tương ứng với từng loại hợp đồng, giao dịch theo mẫu quy định. Trường hợp tiếp nhận hồ sơ tại bộ phận một cửa, một cửa liên thông thì người tiếp nhận hồ sơ ký vào từng trang của hợp đồng, giao dịch và ký vào dưới lời chứng theo mẫu quy định.</w:t>
      </w:r>
    </w:p>
    <w:p>
      <w:pPr>
        <w:spacing w:after="0" w:before="0" w:lineRule="auto" w:line="276"/>
        <w:jc w:val="both"/>
      </w:pPr>
      <w:r>
        <w:rPr>
          <w:rFonts w:ascii="Times New Roman" w:hAnsi="Times New Roman" w:cs="Times New Roman" w:eastAsia="Times New Roman"/>
          <w:b w:val="false"/>
          <w:sz w:val="26"/>
        </w:rPr>
        <w:t>Người thực hiện chưng thực ký vào từng trang của hợp đồng, giao dịch (nếu hồ sơ không được tiếp nhận qua bộ phận một cửa, một chửa liên thông), ký, ghi rõ họ tên, đóng dấu của cơ quan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hợp đồng, giao dịch có từ 02 (hai) trang trở lên, thì từng trang phải được đánh số thứ tự; số lượng trang và lời chứng được ghi tại trang cuối của hợp đồng, giao dịch. Trường hợp hợp đồng, giao dịch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đồng/hợp đồng, giao dịch)</w:t>
            </w:r>
          </w:p>
        </w:tc>
        <w:tc>
          <w:p/>
          <w:p>
            <w:pPr>
              <w:spacing w:after="0" w:before="0" w:lineRule="auto" w:line="276"/>
              <w:jc w:val="left"/>
            </w:pPr>
            <w:r>
              <w:rPr>
                <w:rFonts w:ascii="Times New Roman" w:hAnsi="Times New Roman" w:cs="Times New Roman" w:eastAsia="Times New Roman"/>
                <w:b w:val="false"/>
                <w:sz w:val="26"/>
              </w:rPr>
              <w:t>Nộp hồ sơ trực tiếp tại Phòng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hợp đồng,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2026-05-21T16:42:25Z</dcterms:created>
  <dc:creator>Apache POI</dc:creator>
</cp:coreProperties>
</file>