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QĐ/0001-NHPTVN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vay vốn tín dụng đầu tư của Nhà nước\Xử lý tài sản bảo đảm tiền vay\Trường hợp xử lý TSBĐ theo thoả thuận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Tín dụng của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Khách hàng có công văn đề nghị xử lý tài sản bảo đảm (TSBĐ) hoặc Biên bản làm việc giữa Chi nhánh NHPT và khách hàng về việc xử lý TSBĐ (nếu có), gửi các Sở Giao dịch, Chi nhánh NHPT (gọi tắt là Chi nhánh NHPT).</w:t>
      </w:r>
    </w:p>
    <w:p>
      <w:pPr>
        <w:spacing w:after="0" w:before="0" w:lineRule="auto" w:line="276"/>
        <w:jc w:val="both"/>
      </w:pPr>
      <w:r>
        <w:rPr>
          <w:rFonts w:ascii="Times New Roman" w:hAnsi="Times New Roman" w:cs="Times New Roman" w:eastAsia="Times New Roman"/>
          <w:b w:val="false"/>
          <w:sz w:val="26"/>
        </w:rPr>
        <w:t>Bước 2: Chi nhánh NHPT có công văn báo cáo và đề xuất xử lý TSBĐ gửi NHPT.</w:t>
      </w:r>
    </w:p>
    <w:p>
      <w:pPr>
        <w:spacing w:after="0" w:before="0" w:lineRule="auto" w:line="276"/>
        <w:jc w:val="both"/>
      </w:pPr>
      <w:r>
        <w:rPr>
          <w:rFonts w:ascii="Times New Roman" w:hAnsi="Times New Roman" w:cs="Times New Roman" w:eastAsia="Times New Roman"/>
          <w:b w:val="false"/>
          <w:sz w:val="26"/>
        </w:rPr>
        <w:t>Bước 3: NHPT có công văn gửi Chi nhánh NHPT về việc đồng ý hoặc không đồng ý (nêu rõ lý do) xử lý TSBĐ, để Chi nhánh căn cứ trả lời khách hàng</w:t>
      </w:r>
    </w:p>
    <w:p>
      <w:pPr>
        <w:spacing w:after="0" w:before="0" w:lineRule="auto" w:line="276"/>
        <w:jc w:val="both"/>
      </w:pPr>
      <w:r>
        <w:rPr>
          <w:rFonts w:ascii="Times New Roman" w:hAnsi="Times New Roman" w:cs="Times New Roman" w:eastAsia="Times New Roman"/>
          <w:b w:val="false"/>
          <w:sz w:val="26"/>
        </w:rPr>
        <w:t>Bước 4: Trường hợp được NHPT đồng ý xử lý TSBĐ: Chi nhánh NHPT thông báo bằng văn bản về việc xử lý tài sản bảo đảm cho bên bảo đảm và các bên cùng nhận bảo đảm khác theo địa chỉ được lưu giữ tại cơ quan đăng ký giao dịch bảo đảm hoặc đăng ký văn bản thông báo về việc xử lý tài sản bảo đảm theo quy định của pháp luật về đăng ký giao dịch bảo đảm.</w:t>
      </w:r>
    </w:p>
    <w:p>
      <w:pPr>
        <w:spacing w:after="0" w:before="0" w:lineRule="auto" w:line="276"/>
        <w:jc w:val="both"/>
      </w:pPr>
      <w:r>
        <w:rPr>
          <w:rFonts w:ascii="Times New Roman" w:hAnsi="Times New Roman" w:cs="Times New Roman" w:eastAsia="Times New Roman"/>
          <w:b w:val="false"/>
          <w:sz w:val="26"/>
        </w:rPr>
        <w:t>Bước 5: Chi nhánh NHPT thực hiện giao nhận, thu giữ TSBĐ với bên bảo đảm để xử lý.</w:t>
      </w:r>
    </w:p>
    <w:p>
      <w:pPr>
        <w:spacing w:after="0" w:before="0" w:lineRule="auto" w:line="276"/>
        <w:jc w:val="both"/>
      </w:pPr>
      <w:r>
        <w:rPr>
          <w:rFonts w:ascii="Times New Roman" w:hAnsi="Times New Roman" w:cs="Times New Roman" w:eastAsia="Times New Roman"/>
          <w:b w:val="false"/>
          <w:sz w:val="26"/>
        </w:rPr>
        <w:t>Bước 6: Khai thác, sử dụng TSBĐ trong thời gian chờ xử lý (nếu có)</w:t>
      </w:r>
    </w:p>
    <w:p>
      <w:pPr>
        <w:spacing w:after="0" w:before="0" w:lineRule="auto" w:line="276"/>
        <w:jc w:val="both"/>
      </w:pPr>
      <w:r>
        <w:rPr>
          <w:rFonts w:ascii="Times New Roman" w:hAnsi="Times New Roman" w:cs="Times New Roman" w:eastAsia="Times New Roman"/>
          <w:b w:val="false"/>
          <w:sz w:val="26"/>
        </w:rPr>
        <w:t>Bước 7: Tiến hành xử lý TSBĐ:
Chi nhánh NHPT phối hợp với các bên liên quan tiến hành thực hiện các bước xử lý TSBĐ như sau:
- Xác định giá trị TSBĐ khi xử lý;
- Phương thức xử lý TSBĐ:
+ Bán TSBĐ: các bên thoả thuận về bên bán, bên bán có thể là: Chi nhánh NHPT bán; Bên bảo đảm bán; Trường hợp hai bên cùng phối hơp bán thì phải ký biên bản thoả thuận về việc bán TSBĐ; Trường hợp Uỷ quyền cho bên thứ ba bán thì Chi nhánh NHPT có công văn uỷ quyền cho bên thứ ba. Trường hợp không thoả thuận được thì Chi nhánh NHPT quyết định bên được bán. Việc bán TSBĐ phải được thực hiện qua hơp đồng mua bán;
+ NHPT nhận chính TSBĐ để thay thế cho việc thực hiện nghĩa vụ được bảo đảm;
+ NHPT nhận các khoản tiền hoặc tài sản khác từ người thứ ba trong trường hợp thế chấp quyền đòi nợ;
+ Phương thức khác do NHPT và các bên có liên quan thoả thuận.
- Thanh toán thu nợ từ việc xử lý TSBĐ.</w:t>
      </w:r>
    </w:p>
    <w:p>
      <w:pPr>
        <w:spacing w:after="0" w:before="0" w:lineRule="auto" w:line="276"/>
        <w:jc w:val="both"/>
      </w:pPr>
      <w:r>
        <w:rPr>
          <w:rFonts w:ascii="Times New Roman" w:hAnsi="Times New Roman" w:cs="Times New Roman" w:eastAsia="Times New Roman"/>
          <w:b w:val="false"/>
          <w:sz w:val="26"/>
        </w:rPr>
        <w:t>Bước 8: Đối chiếu, xác nhận số dư nợ còn lại: sau khi TSBĐ đã được xử lý để thu hồi, Chi nhánh NHPT và khách hàng lập phiếu đối chiếu, xác nhận số dư nợ còn lại, số tiền thu thêm được từ các nguồn thu nhập hợp pháp khác của khách hàng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Đối với tài sản bảo đảm có nguy cơ bị mất giá trị hoặc giảm sút giá trị và quyền đòi nợ, giấy tờ có giá, thẻ tiết kiệm thì NHPT có quyền xử lý tài sản bảo đảm.
2. Đối với các tài sản bảo đảm khác: NHPT thỏa thuận với các bên có liên quan về thời hạn xử lý tài sản bảo đảm, nhưng không trước bảy (07) ngày đối với động sản hoặc mười lăm (15) ngày đối với bất động sản, kể từ ngày thông báo về việc xử lý tài sản bảo đảm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Đối với tài sản bảo đảm có nguy cơ bị mất giá trị hoặc giảm sút giá trị và quyền đòi nợ, giấy tờ có giá, thẻ tiết kiệm thì NHPT có quyền xử lý tài sản bảo đảm.
2. Đối với các tài sản bảo đảm khác: NHPT thỏa thuận với các bên có liên quan về thời hạn xử lý tài sản bảo đảm, nhưng không trước bảy (07) ngày đối với động sản hoặc mười lăm (15) ngày đối với bất động sản, kể từ ngày thông báo về việc xử lý tài sản bảo đảm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xử lý TSBĐ của khách hàng hoặc Biên bản làm việc giữa Chi nhánh NHPT và khách hàng về xử lý TSBĐ.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tài chính đến thời điểm đề nghị xử lý TSBĐ của khách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tín dụng (phụ lục hợp đồng tín dụng); Hợp đồng bảo đảm tiền vay (phụ lục hợp đồng bảo đảm tiền vay).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dịch, Chi nhánh NHPT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giao dịch, Chi nhánh NHPT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đối chiếu xác nhận số dư còn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w:t>
            </w:r>
          </w:p>
        </w:tc>
        <w:tc>
          <w:p/>
          <w:p>
            <w:pPr>
              <w:spacing w:after="0" w:before="0" w:lineRule="auto" w:line="276"/>
              <w:jc w:val="left"/>
            </w:pPr>
            <w:r>
              <w:rPr>
                <w:rFonts w:ascii="Times New Roman" w:hAnsi="Times New Roman" w:cs="Times New Roman" w:eastAsia="Times New Roman"/>
                <w:b w:val="false"/>
                <w:sz w:val="26"/>
              </w:rPr>
              <w:t>NGHỊ ĐỊNH VỀ TÍN DỤNG ĐẦU TƯ CỦA NHÀ NƯỚC</w:t>
            </w:r>
          </w:p>
        </w:tc>
        <w:tc>
          <w:p/>
          <w:p>
            <w:pPr>
              <w:spacing w:after="0" w:before="0" w:lineRule="auto" w:line="276"/>
              <w:jc w:val="left"/>
            </w:pPr>
            <w:r>
              <w:rPr>
                <w:rFonts w:ascii="Times New Roman" w:hAnsi="Times New Roman" w:cs="Times New Roman" w:eastAsia="Times New Roman"/>
                <w:b w:val="false"/>
                <w:sz w:val="26"/>
              </w:rPr>
              <w:t>31-03-2017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NHPT được xử lý TSBĐ theo quy định của pháp luật và theo thỏa thuận trong các trường hợp sau:
1. Khách hàng vi phạm Hợp đồng tín dụng phải thực hiện nghĩa vụ trả nợ NHPT trước thời hạn nhưng không thực hiện hoặc không thực hiện đầy đủ nghĩa vụ trả nợ.
2. Khách hàng bị giải thể theo quyết định của cơ quan nhà nước có thẩm quyền trước khi đến hạn trả nợ, thì nghĩa vụ trả nợ tuy chưa đến hạn cũng được coi là đến hạn, nếu khách hàng không trả được và không xử lý TSBĐ để trả nợ thì NHPT được xử lý TSBĐ để thu hồi nợ.
3. Bên bảo đảm là pháp nhân được tổ chức lại nếu không có thỏa thuận được việc kế thừa, thực hiện nghĩa vụ trả nợ đối với NHPT của các pháp nhân mới và khách hàng không thực hiện hoặc thực hiện không đầy đủ nghĩa vụ trả nợ trước thời hạn theo yêu cầu của NHPT.
4. Các trường hợp khác do các bên thỏa thuận hoặc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2026-05-17T16:48:49Z</dcterms:created>
  <dc:creator>Apache POI</dc:creator>
</cp:coreProperties>
</file>