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1.012766.H55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2354/QD-UBND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Xóa đăng ký thuê, cho thuê lại quyền sử dụng đất trong dự án xây dựng kinh doanh kết cấu hạ tầng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Người yêu cầu đăng ký nộp 01 bộ hồ sơ đến cơ quan tiếp nhận hồ sơ:
- Trường hợp cá nhân, cộng đồng dân cư, người gốc Việt Nam định cư ở nước ngoài nộp hồ sơ tại Bộ phận Một cửa theo quy định của Ủy ban nhân dân cấp tỉnh hoặc Văn phòng đăng ký đất đai hoặc Chi nhánh Văn phòng đăng ký đất đai.
- Trường hợp tổ chức trong nước, tổ chức tôn giáo, tổ chức tôn giáo trực thuộc, tổ chức nước ngoài có chức năng ngoại giao, tổ chức kinh tế có vốn đầu tư nước ngoài, tổ chức nước ngoài, cá nhân nước ngoài nộp hồ sơ tại Bộ phận Một cửa theo quy định của Ủy ban nhân dân cấp tỉnh hoặc Văn phòng đăng ký đất đai.
(2) Cơ quan tiếp nhận hồ sơ có trách nhiệm:
a) Kiểm tra tính đầy đủ của thành phần hồ sơ, tính thống nhất về nội dung thông tin giữa các giấy tờ, tính đầy đủ của nội dung kê khai và cấp Giấy tiếp nhận hồ sơ và hẹn trả kết quả theo mẫu quy định tại Nghị định của Chính phủ quy định về thực hiện cơ chế một cửa, một cửa liên thông trong giải quyết thủ tục hành chính. Trường hợp hồ sơ không thuộc thẩm quyền tiếp nhận hoặc hồ sơ không đầy đủ thành phần hoặc không đảm bảo tính thống nhất nội dung thông tin giữa các giấy tờ hoặc kê khai nội dung không đầy đủ thông tin theo quy định thì không tiếp nhận và trả hồ sơ cho người yêu cầu đăng ký.
b) Trường hợp Bộ phận một cửa tiếp nhận hồ sơ thì chuyển hồ sơ đến Văn phòng đăng ký đất đai, Chi nhánh Văn phòng đăng ký đất đai.
(3) Văn phòng đăng ký đất đai, Chi nhánh Văn phòng đăng ký đất đai thực hiện các công việc sau:
a) Xác nhận xóa cho thuê, cho thuê lại vào Giấy chứng nhận đã cấp của chủ đầu tư dự án và trả Giấy chứng nhận cho chủ đầu tư dự án;
b) Thu hồi Giấy chứng nhận đã cấp của bên thuê, bên thuê lại đất;
c) Chỉnh lý, cập nhật biến động vào hồ sơ địa chính, cơ sở dữ liệu đất đai.
(4) Trường hợp đang trong quá trình giải quyết thủ tục mà người sử dụng đất, chủ sở hữu tài sản gắn liền với đất không tiếp tục thực hiện thì người có quyền và nghĩa vụ liên quan theo quy định của pháp luật dân sự nộp giấy tờ chứng minh để tiếp tục thực hiện thủ tục.
Trường hợp chưa xác định được người tiếp tục thực hiện thủ tục hoặc người tiếp tục thực hiện thủ tục không thuộc đối tượng được cấp Giấy chứng nhận quyền sử dụng đất, quyền sở hữu tài sản gắn liền với đất thì Văn phòng đăng ký đất đai, Chi nhánh Văn phòng đăng ký đất đai có trách nhiệm cập nhật vào Sổ địa chính.
(5) Trường hợp đang trong quá trình giải quyết thủ tục hành chính, cơ quan tiếp nhận hồ sơ, cơ quan giải quyết thủ tục nhận được một trong các văn bản quy định tại khoản 2 Điều 19 Nghị định số 101/2024/NĐ-CP thì dừng giải quyết thủ tục đăng ký đất đai, tài sản gắn liền với đất và trả hồ sơ cho người yêu cầu đăng ký.
Đối với các trường hợp quy định tại các điểm b, c, d, đ, e và g khoản 2 Điều 19 Nghị định số 101/2024/NĐ-CP mà quá thời hạn giải quyết theo quy định của pháp luật hoặc nhận được văn bản của cơ quan có thẩm quyền về việc đã giải quyết xong tranh chấp đất đai hoặc văn bản hủy bỏ việc dừng, tạm dừng thủ tục đăng ký đất đai, tài sản gắn liền với đất, kê biên tài sản thì cơ quan tiếp nhận, cơ quan giải quyết thủ tục tiếp tục thực hiện việc đăng ký đất đai, tài sản gắn liền với đất theo quy định của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Đồng</w:t>
            </w:r>
          </w:p>
        </w:tc>
        <w:tc>
          <w:p/>
          <w:p>
            <w:pPr>
              <w:spacing w:after="0" w:before="0" w:lineRule="auto" w:line="276"/>
              <w:jc w:val="left"/>
            </w:pPr>
            <w:r>
              <w:rPr>
                <w:rFonts w:ascii="Times New Roman" w:hAnsi="Times New Roman" w:cs="Times New Roman" w:eastAsia="Times New Roman"/>
                <w:b w:val="false"/>
                <w:sz w:val="26"/>
              </w:rPr>
              <w:t>Không quá 03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13 Ngày làm việc</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Đồng</w:t>
            </w:r>
          </w:p>
        </w:tc>
        <w:tc>
          <w:p/>
          <w:p>
            <w:pPr>
              <w:spacing w:after="0" w:before="0" w:lineRule="auto" w:line="276"/>
              <w:jc w:val="left"/>
            </w:pPr>
            <w:r>
              <w:rPr>
                <w:rFonts w:ascii="Times New Roman" w:hAnsi="Times New Roman" w:cs="Times New Roman" w:eastAsia="Times New Roman"/>
                <w:b w:val="false"/>
                <w:sz w:val="26"/>
              </w:rPr>
              <w:t>Không quá 13 ngày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Đồng</w:t>
            </w:r>
          </w:p>
        </w:tc>
        <w:tc>
          <w:p/>
          <w:p>
            <w:pPr>
              <w:spacing w:after="0" w:before="0" w:lineRule="auto" w:line="276"/>
              <w:jc w:val="left"/>
            </w:pPr>
            <w:r>
              <w:rPr>
                <w:rFonts w:ascii="Times New Roman" w:hAnsi="Times New Roman" w:cs="Times New Roman" w:eastAsia="Times New Roman"/>
                <w:b w:val="false"/>
                <w:sz w:val="26"/>
              </w:rPr>
              <w:t>Không quá 03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13 Ngày làm việc</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Đồng</w:t>
            </w:r>
          </w:p>
        </w:tc>
        <w:tc>
          <w:p/>
          <w:p>
            <w:pPr>
              <w:spacing w:after="0" w:before="0" w:lineRule="auto" w:line="276"/>
              <w:jc w:val="left"/>
            </w:pPr>
            <w:r>
              <w:rPr>
                <w:rFonts w:ascii="Times New Roman" w:hAnsi="Times New Roman" w:cs="Times New Roman" w:eastAsia="Times New Roman"/>
                <w:b w:val="false"/>
                <w:sz w:val="26"/>
              </w:rPr>
              <w:t>Không quá 13 ngày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Đồng</w:t>
            </w:r>
          </w:p>
        </w:tc>
        <w:tc>
          <w:p/>
          <w:p>
            <w:pPr>
              <w:spacing w:after="0" w:before="0" w:lineRule="auto" w:line="276"/>
              <w:jc w:val="left"/>
            </w:pPr>
            <w:r>
              <w:rPr>
                <w:rFonts w:ascii="Times New Roman" w:hAnsi="Times New Roman" w:cs="Times New Roman" w:eastAsia="Times New Roman"/>
                <w:b w:val="false"/>
                <w:sz w:val="26"/>
              </w:rPr>
              <w:t>Không quá 03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13 Ngày làm việc</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Đồng</w:t>
            </w:r>
          </w:p>
        </w:tc>
        <w:tc>
          <w:p/>
          <w:p>
            <w:pPr>
              <w:spacing w:after="0" w:before="0" w:lineRule="auto" w:line="276"/>
              <w:jc w:val="left"/>
            </w:pPr>
            <w:r>
              <w:rPr>
                <w:rFonts w:ascii="Times New Roman" w:hAnsi="Times New Roman" w:cs="Times New Roman" w:eastAsia="Times New Roman"/>
                <w:b w:val="false"/>
                <w:sz w:val="26"/>
              </w:rPr>
              <w:t>Không quá 13 ngày đối với các xã miền núi, hải đảo, vùng sâu, vùng xa, vùng có điều kiện kinh tế - xã hội khó khăn, vùng có điều kiện kinh tế - xã hội đặc biệt khó khăn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Thành phần hồ sơ:</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(3) Văn bản về việc xóa cho thuê, xóa cho thuê lại quyền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Văn bản về việc đại diện theo quy định của pháp luật về dân sự đối với trường hợp thực hiện thủ tục thông qua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 Đơn đăng ký biến động đất đai, tài sản gắn liền với đất theo Mẫu số 18 ban hành kèm theo Nghị định số 151/2025/NĐ-CP.</w:t>
            </w:r>
          </w:p>
        </w:tc>
        <w:tc>
          <w:p/>
          <w:p>
            <w:pPr>
              <w:spacing w:after="0" w:before="0" w:lineRule="auto" w:line="276"/>
              <w:jc w:val="left"/>
            </w:pPr>
            <w:r>
              <w:rPr>
                <w:rFonts w:ascii="Times New Roman" w:hAnsi="Times New Roman" w:cs="Times New Roman" w:eastAsia="Times New Roman"/>
                <w:b w:val="false"/>
                <w:sz w:val="26"/>
              </w:rPr>
              <w:t>Mus18.docx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đất đai, 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Văn phòng đăng ký đất đai, 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Nơi Tiếp nhận hồ sơ và Trả kết quả giải quyết TTHC:  Trung tâm phục vụ hành chính công tỉnh Thái Nguyên Địa chỉ: Số 17, đường Đội Cấn, phường Trưng Vương, thành phố Thái Nguyên, tỉnh Thái Nguyên. Hoặc qua đường dịch vụ bưu chính hoặc nộp trực tuyến (nếu có).</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Giấy chứng nhận quyền sở hữu nhà ở và quyền sử dụng đất ở; Giấy chứng nhận quyền sở hữu nhà ở; Giấy chứng nhận quyền sở hữu công trình xây dựng; Giấy chứng nhận quyền sử dụng đất, quyền sở hữu nhà ở và tài sản khác gắn liền với đất;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43/2016/QĐ-UBND</w:t>
            </w:r>
          </w:p>
        </w:tc>
        <w:tc>
          <w:p/>
          <w:p>
            <w:pPr>
              <w:spacing w:after="0" w:before="0" w:lineRule="auto" w:line="276"/>
              <w:jc w:val="left"/>
            </w:pPr>
            <w:r>
              <w:rPr>
                <w:rFonts w:ascii="Times New Roman" w:hAnsi="Times New Roman" w:cs="Times New Roman" w:eastAsia="Times New Roman"/>
                <w:b w:val="false"/>
                <w:sz w:val="26"/>
              </w:rPr>
              <w:t>Quyết định số 43/2016/QĐ-UBND ngày 20/12/2016 của UBND tỉnh Thái Nguyên về quy định tổ chức thực hiện mức thu, chế độ thu, nộp, quản lý và sử dụng lệ phí địa chính trên địa bàn tỉnh Thái Nguyên</w:t>
            </w:r>
          </w:p>
        </w:tc>
        <w:tc>
          <w:p/>
          <w:p>
            <w:pPr>
              <w:spacing w:after="0" w:before="0" w:lineRule="auto" w:line="276"/>
              <w:jc w:val="left"/>
            </w:pPr>
            <w:r>
              <w:rPr>
                <w:rFonts w:ascii="Times New Roman" w:hAnsi="Times New Roman" w:cs="Times New Roman" w:eastAsia="Times New Roman"/>
                <w:b w:val="false"/>
                <w:sz w:val="26"/>
              </w:rPr>
              <w:t>20-12-2016</w:t>
            </w:r>
          </w:p>
        </w:tc>
        <w:tc>
          <w:p/>
          <w:p>
            <w:pPr>
              <w:spacing w:after="0" w:before="0" w:lineRule="auto" w:line="276"/>
              <w:jc w:val="left"/>
            </w:pPr>
            <w:r>
              <w:rPr>
                <w:rFonts w:ascii="Times New Roman" w:hAnsi="Times New Roman" w:cs="Times New Roman" w:eastAsia="Times New Roman"/>
                <w:b w:val="false"/>
                <w:sz w:val="26"/>
              </w:rPr>
              <w:t>UBND tỉnh Thái Nguyên</w:t>
            </w:r>
          </w:p>
        </w:tc>
      </w:tr>
      <w:tr>
        <w:tc>
          <w:p/>
          <w:p>
            <w:pPr>
              <w:spacing w:after="0" w:before="0" w:lineRule="auto" w:line="276"/>
              <w:jc w:val="left"/>
            </w:pPr>
            <w:r>
              <w:rPr>
                <w:rFonts w:ascii="Times New Roman" w:hAnsi="Times New Roman" w:cs="Times New Roman" w:eastAsia="Times New Roman"/>
                <w:b w:val="false"/>
                <w:sz w:val="26"/>
              </w:rPr>
              <w:t>10/2021/NQ-HĐND</w:t>
            </w:r>
          </w:p>
        </w:tc>
        <w:tc>
          <w:p/>
          <w:p>
            <w:pPr>
              <w:spacing w:after="0" w:before="0" w:lineRule="auto" w:line="276"/>
              <w:jc w:val="left"/>
            </w:pPr>
            <w:r>
              <w:rPr>
                <w:rFonts w:ascii="Times New Roman" w:hAnsi="Times New Roman" w:cs="Times New Roman" w:eastAsia="Times New Roman"/>
                <w:b w:val="false"/>
                <w:sz w:val="26"/>
              </w:rPr>
              <w:t>Nghị quyết 10/2021/NQ-HĐND Sửa đổi, bổ sung một số nội dung của Nghị quyết 49/2016/NQ-HĐND ngày 08/12/2016 của Hội đồng nhân dân tỉnh ban hành quy định về phí và lệ phí trên địa bàn tỉnh Thái Nguyên</w:t>
            </w:r>
          </w:p>
        </w:tc>
        <w:tc>
          <w:p/>
          <w:p>
            <w:pPr>
              <w:spacing w:after="0" w:before="0" w:lineRule="auto" w:line="276"/>
              <w:jc w:val="left"/>
            </w:pPr>
            <w:r>
              <w:rPr>
                <w:rFonts w:ascii="Times New Roman" w:hAnsi="Times New Roman" w:cs="Times New Roman" w:eastAsia="Times New Roman"/>
                <w:b w:val="false"/>
                <w:sz w:val="26"/>
              </w:rPr>
              <w:t>08-02-2022</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Luật số 32/2024/QH15</w:t>
            </w:r>
          </w:p>
        </w:tc>
        <w:tc>
          <w:p/>
          <w:p>
            <w:pPr>
              <w:spacing w:after="0" w:before="0" w:lineRule="auto" w:line="276"/>
              <w:jc w:val="left"/>
            </w:pPr>
            <w:r>
              <w:rPr>
                <w:rFonts w:ascii="Times New Roman" w:hAnsi="Times New Roman" w:cs="Times New Roman" w:eastAsia="Times New Roman"/>
                <w:b w:val="false"/>
                <w:sz w:val="26"/>
              </w:rPr>
              <w:t>Luật Các tổ chức tín dụng</w:t>
            </w:r>
          </w:p>
        </w:tc>
        <w:tc>
          <w:p/>
          <w:p>
            <w:pPr>
              <w:spacing w:after="0" w:before="0" w:lineRule="auto" w:line="276"/>
              <w:jc w:val="left"/>
            </w:pPr>
            <w:r>
              <w:rPr>
                <w:rFonts w:ascii="Times New Roman" w:hAnsi="Times New Roman" w:cs="Times New Roman" w:eastAsia="Times New Roman"/>
                <w:b w:val="false"/>
                <w:sz w:val="26"/>
              </w:rPr>
              <w:t>18-01-2024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43/2024/QH15 ngày 29/6/2024</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27/2023/QH15</w:t>
            </w:r>
          </w:p>
        </w:tc>
        <w:tc>
          <w:p/>
          <w:p>
            <w:pPr>
              <w:spacing w:after="0" w:before="0" w:lineRule="auto" w:line="276"/>
              <w:jc w:val="left"/>
            </w:pPr>
            <w:r>
              <w:rPr>
                <w:rFonts w:ascii="Times New Roman" w:hAnsi="Times New Roman" w:cs="Times New Roman" w:eastAsia="Times New Roman"/>
                <w:b w:val="false"/>
                <w:sz w:val="26"/>
              </w:rPr>
              <w:t>Luật Nhà ở số 27/2023/QH15</w:t>
            </w:r>
          </w:p>
        </w:tc>
        <w:tc>
          <w:p/>
          <w:p>
            <w:pPr>
              <w:spacing w:after="0" w:before="0" w:lineRule="auto" w:line="276"/>
              <w:jc w:val="left"/>
            </w:pPr>
            <w:r>
              <w:rPr>
                <w:rFonts w:ascii="Times New Roman" w:hAnsi="Times New Roman" w:cs="Times New Roman" w:eastAsia="Times New Roman"/>
                <w:b w:val="false"/>
                <w:sz w:val="26"/>
              </w:rPr>
              <w:t>27-11-2023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29/2023/QH15</w:t>
            </w:r>
          </w:p>
        </w:tc>
        <w:tc>
          <w:p/>
          <w:p>
            <w:pPr>
              <w:spacing w:after="0" w:before="0" w:lineRule="auto" w:line="276"/>
              <w:jc w:val="left"/>
            </w:pPr>
            <w:r>
              <w:rPr>
                <w:rFonts w:ascii="Times New Roman" w:hAnsi="Times New Roman" w:cs="Times New Roman" w:eastAsia="Times New Roman"/>
                <w:b w:val="false"/>
                <w:sz w:val="26"/>
              </w:rPr>
              <w:t>Luật Kinh doanh bất động sản số 29/2023/QH15</w:t>
            </w:r>
          </w:p>
        </w:tc>
        <w:tc>
          <w:p/>
          <w:p>
            <w:pPr>
              <w:spacing w:after="0" w:before="0" w:lineRule="auto" w:line="276"/>
              <w:jc w:val="left"/>
            </w:pPr>
            <w:r>
              <w:rPr>
                <w:rFonts w:ascii="Times New Roman" w:hAnsi="Times New Roman" w:cs="Times New Roman" w:eastAsia="Times New Roman"/>
                <w:b w:val="false"/>
                <w:sz w:val="26"/>
              </w:rPr>
              <w:t>28-11-2023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2026-05-15T03:34:19Z</dcterms:created>
  <dc:creator>Apache POI</dc:creator>
</cp:coreProperties>
</file>