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con chưa chuyển đổi thành công ty TNHH MTV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Chuyển đổi công ty nhà nước được thành lập và hoạt động theo Luật Doanh nghiệp nhà nước thành công ty trách nhiệm hữu hạn một thành viên tổ chức và hoạt động theo quy định tại Luật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ty con chưa chuyển đổi xây dựng Đề án chuyển đổi; Điều lệ của công ty trách nhiệm hữu hạn một thành viên trình Hội đồng thành viên hoặc Chủ tịch công ty của công ty mẹ xem xét, phê duyệt.</w:t>
      </w:r>
    </w:p>
    <w:p>
      <w:pPr>
        <w:spacing w:after="0" w:before="0" w:lineRule="auto" w:line="276"/>
        <w:jc w:val="both"/>
      </w:pPr>
      <w:r>
        <w:rPr>
          <w:rFonts w:ascii="Times New Roman" w:hAnsi="Times New Roman" w:cs="Times New Roman" w:eastAsia="Times New Roman"/>
          <w:b w:val="false"/>
          <w:sz w:val="26"/>
        </w:rPr>
        <w:t>- Trên cơ sở đề xuất của công ty con chưa chuyển đổi, Hội đồng thành viên hoặc Chủ tịch công ty của công ty mẹ ban hành Quyết định chuyển đổi.</w:t>
      </w:r>
    </w:p>
    <w:p>
      <w:pPr>
        <w:spacing w:after="0" w:before="0" w:lineRule="auto" w:line="276"/>
        <w:jc w:val="both"/>
      </w:pPr>
      <w:r>
        <w:rPr>
          <w:rFonts w:ascii="Times New Roman" w:hAnsi="Times New Roman" w:cs="Times New Roman" w:eastAsia="Times New Roman"/>
          <w:b w:val="false"/>
          <w:sz w:val="26"/>
        </w:rPr>
        <w:t>- Sau khi Hội đồng thành viên hoặc Chủ tịch công ty của công ty mẹ ban hành Quyết định chuyển đổi, công ty con chưa chuyển đổi gửi hồ sơ đăng ký chuyển đổi đến Cơ quan đăng ký kinh doanh cấp tỉnh nơi công ty đặt trụ sở chính.</w:t>
      </w:r>
    </w:p>
    <w:p>
      <w:pPr>
        <w:spacing w:after="0" w:before="0" w:lineRule="auto" w:line="276"/>
        <w:jc w:val="both"/>
      </w:pPr>
      <w:r>
        <w:rPr>
          <w:rFonts w:ascii="Times New Roman" w:hAnsi="Times New Roman" w:cs="Times New Roman" w:eastAsia="Times New Roman"/>
          <w:b w:val="false"/>
          <w:sz w:val="26"/>
        </w:rPr>
        <w:t>- Cơ quan đăng ký kinh doanh có trách nhiệm xem xét tính hợp lệ của hồ sơ đăng ký doanh nghiệp và cấp Giấy chứng nhận đăng ký doanh nghiệp cho doanh nghiệp, cập nhật thông tin trong Cơ sở dữ liệu quốc gia về đăng ký doanh nghiệp. Trường hợp hồ sơ chưa hợp lệ, Cơ quan đăng ký kinh doanh có trách nhiệm thông báo bằng văn bản nội dung cần sửa đổi, bổ sung cho công ty con chưa chuyển đổi. Trường hợp từ chối cấp Giấy chứng nhận đăng ký doanh nghiệp thì phải thông báo bằng văn bản cho công ty con chưa chuyển đổi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tiếp nhận hồ sơ, Cơ quan đăng ký kinh doanh có trách nhiệm xem xét tính hợp lệ của hồ sơ đăng ký doanh nghiệp và cấp Giấy chứng nhận đăng ký doanh nghiệp cho doanh nghiệp, cập nhật thông tin trong Cơ sở dữ liệu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tiếp nhận hồ sơ, Cơ quan đăng ký kinh doanh có trách nhiệm xem xét tính hợp lệ của hồ sơ đăng ký doanh nghiệp và cấp Giấy chứng nhận đăng ký doanh nghiệp cho doanh nghiệp, cập nhật thông tin trong Cơ sở dữ liệu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tiếp nhận hồ sơ, Cơ quan đăng ký kinh doanh có trách nhiệm xem xét tính hợp lệ của hồ sơ đăng ký doanh nghiệp và cấp Giấy chứng nhận đăng ký doanh nghiệp cho doanh nghiệp, cập nhật thông tin trong Cơ sở dữ liệu quốc gia về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doanh nghiệp (theo mẫu quy định tại Phụ lục II ban hành kèm theo Nghị định số 89/2024/NĐ-CP).</w:t>
            </w:r>
          </w:p>
        </w:tc>
        <w:tc>
          <w:p/>
          <w:p>
            <w:pPr>
              <w:spacing w:after="0" w:before="0" w:lineRule="auto" w:line="276"/>
              <w:jc w:val="left"/>
            </w:pPr>
            <w:r>
              <w:rPr>
                <w:rFonts w:ascii="Times New Roman" w:hAnsi="Times New Roman" w:cs="Times New Roman" w:eastAsia="Times New Roman"/>
                <w:b w:val="false"/>
                <w:sz w:val="26"/>
              </w:rPr>
              <w:t>PL II Giay de nghi dk 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công ty  trách nhiệm hữu hạn một thành viên theo quy định tại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sau  đây: + Giấy tờ pháp lý của cá nhân người đại diện theo pháp luật của công ty trách nhiệm hữu hạn một thành viên quy định tại Quyết định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pháp lý của cá nhân  đối với người đại diện phần vốn của công ty mẹ tại công ty trách nhiệm hữu hạn một thành viên quy định tại Quyết định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hoặc các giấy tờ có giá trị pháp lý tương đương; giấy chứng nhận đăng ký thuế của công ty con chưa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27-11-2014</w:t>
            </w:r>
          </w:p>
        </w:tc>
        <w:tc>
          <w:p/>
        </w:tc>
      </w:tr>
      <w:tr>
        <w:tc>
          <w:p/>
          <w:p>
            <w:pPr>
              <w:spacing w:after="0" w:before="0" w:lineRule="auto" w:line="276"/>
              <w:jc w:val="left"/>
            </w:pPr>
            <w:r>
              <w:rPr>
                <w:rFonts w:ascii="Times New Roman" w:hAnsi="Times New Roman" w:cs="Times New Roman" w:eastAsia="Times New Roman"/>
                <w:b w:val="false"/>
                <w:sz w:val="26"/>
              </w:rPr>
              <w:t>89/2024/NĐ-CP</w:t>
            </w:r>
          </w:p>
        </w:tc>
        <w:tc>
          <w:p/>
          <w:p>
            <w:pPr>
              <w:spacing w:after="0" w:before="0" w:lineRule="auto" w:line="276"/>
              <w:jc w:val="left"/>
            </w:pPr>
            <w:r>
              <w:rPr>
                <w:rFonts w:ascii="Times New Roman" w:hAnsi="Times New Roman" w:cs="Times New Roman" w:eastAsia="Times New Roman"/>
                <w:b w:val="false"/>
                <w:sz w:val="26"/>
              </w:rPr>
              <w:t>Nghị định số 89/2024/NĐ-CP của Chính phủ: Về chuyển đổi công ty nhà nước được thành lập và hoạt động theo Luật Doanh nghiệp nhà nước thành công ty trách nhiệm hữu hạn một thành viên tổ chức và hoạt động theo quy định tại Luật Doanh nghiệp</w:t>
            </w:r>
          </w:p>
        </w:tc>
        <w:tc>
          <w:p/>
          <w:p>
            <w:pPr>
              <w:spacing w:after="0" w:before="0" w:lineRule="auto" w:line="276"/>
              <w:jc w:val="left"/>
            </w:pPr>
            <w:r>
              <w:rPr>
                <w:rFonts w:ascii="Times New Roman" w:hAnsi="Times New Roman" w:cs="Times New Roman" w:eastAsia="Times New Roman"/>
                <w:b w:val="false"/>
                <w:sz w:val="26"/>
              </w:rPr>
              <w:t>16-07-2024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Do đặc đù chỉ áp dụng đối với công ty nhà nước chưa chuyển đổi thành công ty TNHH MTV theo quy định tại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con, chưa chuyển đổi, thành công ty, TNHH MTV</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2026-05-14T18:30:09Z</dcterms:created>
  <dc:creator>Apache POI</dc:creator>
</cp:coreProperties>
</file>