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chi nhánh, văn phòng đại diện, địa điểm kinh doanh của công ty nhà nước và công ty con chưa chuyển đổi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Chuyển đổi công ty nhà nước được thành lập và hoạt động theo Luật Doanh nghiệp nhà nước thành công ty trách nhiệm hữu hạn một thành viên tổ chức và hoạt động theo quy định tại Luật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ty nhà nước, công ty con chưa chuyển đổi có chi nhánh, văn phòng đại diện, địa điểm kinh doanh, công ty trách nhiệm hữu hạn một thành viên sau chuyển đổi có trách nhiệm đăng ký lại chi nhánh, văn phòng đại diện, địa điểm kinh doanh theo quy định tại Nghị định số 89/2024/NĐ-CP.</w:t>
      </w:r>
    </w:p>
    <w:p>
      <w:pPr>
        <w:spacing w:after="0" w:before="0" w:lineRule="auto" w:line="276"/>
        <w:jc w:val="both"/>
      </w:pPr>
      <w:r>
        <w:rPr>
          <w:rFonts w:ascii="Times New Roman" w:hAnsi="Times New Roman" w:cs="Times New Roman" w:eastAsia="Times New Roman"/>
          <w:b w:val="false"/>
          <w:sz w:val="26"/>
        </w:rPr>
        <w:t>- Kể từ ngày được cấp Giấy chứng nhận đăng ký doanh nghiệp, công ty trách nhiệm hữu hạn một thành viên gửi hồ sơ đăng ký lại chi nhánh, văn phòng đại diện, địa điểm kinh doanh đến Cơ quan đăng ký kinh doanh cấp tỉnh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Cơ quan đăng ký kinh doanh có trách nhiệm xem xét tính hợp lệ của hồ sơ và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Giấy chứng nhận đăng ký địa điểm kinh doanh cho doanh nghiệp. Trường hợp từ chối cấp Giấy chứng nhận đăng ký hoạt động chi nhánh, văn phòng đại diện, Cơ quan đăng ký kinh doanh có trách nhiệm thông báo bằng văn bản cho doanh nghiệp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tiếp nhận hồ sơ, Cơ quan đăng ký kinh doanh có trách nhiệm xem xét tính hợp lệ của hồ sơ và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Giấy chứng nhận đăng ký địa điểm kinh doanh cho doanh nghiệp. Trường hợp từ chối cấp Giấy chứng nhận đăng ký hoạt động chi nhánh, văn phòng đại diện, Cơ quan đăng ký kinh doanh có trách nhiệm thông báo bằng văn bản cho doanh nghiệp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tiếp nhận hồ sơ, Cơ quan đăng ký kinh doanh có trách nhiệm xem xét tính hợp lệ của hồ sơ và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Giấy chứng nhận đăng ký địa điểm kinh doanh cho doanh nghiệp. Trường hợp từ chối cấp Giấy chứng nhận đăng ký hoạt động chi nhánh, văn phòng đại diện, Cơ quan đăng ký kinh doanh có trách nhiệm thông báo bằng văn bản cho doanh nghiệp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tiếp nhận hồ sơ, Cơ quan đăng ký kinh doanh có trách nhiệm xem xét tính hợp lệ của hồ sơ và cấp Giấy chứng nhận đăng ký hoạt động chi nhánh, văn phòng đại diện, cập nhật thông tin về địa điểm kinh doanh trong Cơ sở dữ liệu quốc gia về đăng ký doanh nghiệp. Trường hợp doanh nghiệp có nhu cầu, Cơ quan đăng ký kinh doanh cấp Giấy chứng nhận đăng ký địa điểm kinh doanh cho doanh nghiệp. Trường hợp từ chối cấp Giấy chứng nhận đăng ký hoạt động chi nhánh, văn phòng đại diện, Cơ quan đăng ký kinh doanh có trách nhiệm thông báo bằng văn bản cho doanh nghiệp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đăng ký lại chi nhánh, văn phòng đại diện, địa điểm kinh doanh do người đại diện theo pháp luật của công ty trách nhiệm hữu hạn một thành viên ký (theo mẫu quy định tại Phụ lục IV ban hành kèm theo Nghị định này).</w:t>
            </w:r>
          </w:p>
        </w:tc>
        <w:tc>
          <w:p/>
          <w:p>
            <w:pPr>
              <w:spacing w:after="0" w:before="0" w:lineRule="auto" w:line="276"/>
              <w:jc w:val="left"/>
            </w:pPr>
            <w:r>
              <w:rPr>
                <w:rFonts w:ascii="Times New Roman" w:hAnsi="Times New Roman" w:cs="Times New Roman" w:eastAsia="Times New Roman"/>
                <w:b w:val="false"/>
                <w:sz w:val="26"/>
              </w:rPr>
              <w:t>PL IV Thong bao vv dang ki lai chi nhanh.docx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chuyển đổi, trong đó bao gồm thông tin về chi nhánh, văn phòng đại diện, địa điểm kinh doanh được đăng ký lại theo quy định tại Nghị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sau đây: + Giấy tờ pháp lý của cá nhân người đứng đầu chi nhánh, văn phòng đại diện, địa điểm kinh doanh của công ty trách nhiệm hữu hạn một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văn phòng đại diện, địa điểm kinh doanh của công ty nhà nước, công ty con chưa chuyển đổi hoặc các giấy tờ có giá trị pháp lý tương đương. Trường hợp nội dung đăng ký hoạt động chi nhánh, văn phòng đại điển, địa điểm kinh doanh đã được ghi nhận trên giấy chứng nhận đăng ký kinh doanh của công ty nhà nước, công ty con chưa chuyển đổi hoặc các giấy tờ có giá trị pháp lý tương đương, doanh nghiệp nộp giấy chứng nhận đăng ký kinh doành của công ty nhà nước, công ty con chưa chuyển đổi hoặc các giấy tờ có giá trị pháp lý tương đương thay cho loại giấy tờ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thuế của chi nhánh, văn phòng đại diện của công ty nhà nước, công ty con chưa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69/2014/QH13</w:t>
            </w:r>
          </w:p>
        </w:tc>
        <w:tc>
          <w:p/>
          <w:p>
            <w:pPr>
              <w:spacing w:after="0" w:before="0" w:lineRule="auto" w:line="276"/>
              <w:jc w:val="left"/>
            </w:pPr>
            <w:r>
              <w:rPr>
                <w:rFonts w:ascii="Times New Roman" w:hAnsi="Times New Roman" w:cs="Times New Roman" w:eastAsia="Times New Roman"/>
                <w:b w:val="false"/>
                <w:sz w:val="26"/>
              </w:rPr>
              <w:t>Luật 69/2014/QH13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89/2024/NĐ-CP</w:t>
            </w:r>
          </w:p>
        </w:tc>
        <w:tc>
          <w:p/>
          <w:p>
            <w:pPr>
              <w:spacing w:after="0" w:before="0" w:lineRule="auto" w:line="276"/>
              <w:jc w:val="left"/>
            </w:pPr>
            <w:r>
              <w:rPr>
                <w:rFonts w:ascii="Times New Roman" w:hAnsi="Times New Roman" w:cs="Times New Roman" w:eastAsia="Times New Roman"/>
                <w:b w:val="false"/>
                <w:sz w:val="26"/>
              </w:rPr>
              <w:t>Nghị định số 89/2024/NĐ-CP của Chính phủ: Về chuyển đổi công ty nhà nước được thành lập và hoạt động theo Luật Doanh nghiệp nhà nước thành công ty trách nhiệm hữu hạn một thành viên tổ chức và hoạt động theo quy định tại Luật Doanh nghiệp</w:t>
            </w:r>
          </w:p>
        </w:tc>
        <w:tc>
          <w:p/>
          <w:p>
            <w:pPr>
              <w:spacing w:after="0" w:before="0" w:lineRule="auto" w:line="276"/>
              <w:jc w:val="left"/>
            </w:pPr>
            <w:r>
              <w:rPr>
                <w:rFonts w:ascii="Times New Roman" w:hAnsi="Times New Roman" w:cs="Times New Roman" w:eastAsia="Times New Roman"/>
                <w:b w:val="false"/>
                <w:sz w:val="26"/>
              </w:rPr>
              <w:t>16-07-2024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Do đặc đù chỉ áp dụng đối với công ty nhà nước chưa chuyển đổi thành công ty TNHH MTV theo quy định tại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chi nhánh, văn phòng, đại diện, địa điểm, kinh doanh, của công ty, nhà nước, và công ty con, chưa chuyển đổi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2026-05-14T17:22:06Z</dcterms:created>
  <dc:creator>Apache POI</dc:creator>
</cp:coreProperties>
</file>