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nhà ở cũ thuộc tài sản công đối với trường hợp chưa có hợp đồng thuê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thuê nhà ở nộp 01 bộ hồ sơ cho đơn vị quản lý vận hành nhà ở hoặc nộp cho cơ quan quản lý nhà ở (do cơ quan đại diện chủ sở hữu nhà ở quy định); Trường hợp UBND cấp tỉnh phân cấp, ủy quyền cho UBND cấp xã thực hiện quyền đại diện chủ sở hữu nhà ở cũ thuộc tài sản công thì UBND cấp xã đồng thời là cơ quan quản lý nhà ở</w:t>
      </w:r>
    </w:p>
    <w:p>
      <w:pPr>
        <w:spacing w:after="0" w:before="0" w:lineRule="auto" w:line="276"/>
        <w:jc w:val="both"/>
      </w:pPr>
      <w:r>
        <w:rPr>
          <w:rFonts w:ascii="Times New Roman" w:hAnsi="Times New Roman" w:cs="Times New Roman" w:eastAsia="Times New Roman"/>
          <w:b w:val="false"/>
          <w:sz w:val="26"/>
        </w:rPr>
        <w:t>- Cơ quan tiếp nhận hồ sơ (đơn vị quản lý vận hành hoặc cơ quan quản lý nhà ở) có trách nhiệm kiểm tra, có giấy biên nhận hồ sơ; trường hợp người nộp đơn không thuộc đối tượng được thuê nhà ở thì phải có văn bản thông báo cho người hộp hồ sơ biết rõ lý do.
Trường hợp hồ sơ còn thiếu giấy tờ thì cơ quan tiếp nhận hồ sơ phải hướng dẫn ngay nếu người nộp hồ sơ trực tiếp hoặc trong thời hạn tối đa 05 ngày làm việc, cơ quan tiếp nhận hồ sơ phải có văn bản thông báo để người nộp đơn bổ sung giấy tờ còn thiếu theo quy định, không được trả lại hồ sơ để nộp lại từ đầu.
Trường hợp đơn vị quản lý vận hành nhà ở tiếp nhận hồ sơ thì phải báo cáo cơ quan quản lý nhà ở xem xét, trình cơ quan đại diện chủ sở hữu nhà ở quyết định việc cho thuê nhà ở;</w:t>
      </w:r>
    </w:p>
    <w:p>
      <w:pPr>
        <w:spacing w:after="0" w:before="0" w:lineRule="auto" w:line="276"/>
        <w:jc w:val="both"/>
      </w:pPr>
      <w:r>
        <w:rPr>
          <w:rFonts w:ascii="Times New Roman" w:hAnsi="Times New Roman" w:cs="Times New Roman" w:eastAsia="Times New Roman"/>
          <w:b w:val="false"/>
          <w:sz w:val="26"/>
        </w:rPr>
        <w:t>- Trong thời hạn tối đa 15 ngày, kể từ ngày nhận đủ hồ sơ hợp lệ, cơ quan quản lý nhà ở có trách nhiệm kiểm tra, lập tờ trình kèm theo dự thảo quyết định phê duyệt đối tượng được thuê nhà ở cũ gửi cơ quan đại diện chủ sở hữu xem xét, quyết định;</w:t>
      </w:r>
    </w:p>
    <w:p>
      <w:pPr>
        <w:spacing w:after="0" w:before="0" w:lineRule="auto" w:line="276"/>
        <w:jc w:val="both"/>
      </w:pPr>
      <w:r>
        <w:rPr>
          <w:rFonts w:ascii="Times New Roman" w:hAnsi="Times New Roman" w:cs="Times New Roman" w:eastAsia="Times New Roman"/>
          <w:b w:val="false"/>
          <w:sz w:val="26"/>
        </w:rPr>
        <w:t>- Trong thời hạn tối đa 15 ngày, kể từ ngày nhận được tờ trình của cơ quan quản lý nhà ở, cơ quan đại diện chủ sở hữu nhà ở xem xét, ban hành quyết định phê duyệt đối tượng được thuê nhà ở. Quyết định này được gửi cho cơ quan quản lý nhà ở để thông báo cho đơn vị quản lý vận hành nhà ở thực hiện ký kết hợp đồng thuê nhà ở. Trường hợp nhà ở cũ do Bộ Quốc phòng đang quản lý mà giao thẩm quyền quyết định đối tượng được thuê nhà ở cho cơ quan quản lý nhà ở thì cơ quan này ban hành quyết định phê duyệt đối tượng được thuê nhà ở.
Sau khi có quyết định phê duyệt, đơn vị quản lý vận hành nhà ở thực hiện ký kết hợp đồng với người thuê nhà 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cơ quan tiếp nhận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cơ quan tiếp nhận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Không quá 30 ngày, kể từ ngày cơ quan tiếp nhận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thuê nhà ở được lập theo Mẫu số 02 của Phụ lục V ban hành kèm theo Nghị định số 95/2024/NĐ-CP;</w:t>
            </w:r>
          </w:p>
        </w:tc>
        <w:tc>
          <w:p/>
          <w:p>
            <w:pPr>
              <w:spacing w:after="0" w:before="0" w:lineRule="auto" w:line="276"/>
              <w:jc w:val="left"/>
            </w:pPr>
            <w:r>
              <w:rPr>
                <w:rFonts w:ascii="Times New Roman" w:hAnsi="Times New Roman" w:cs="Times New Roman" w:eastAsia="Times New Roman"/>
                <w:b w:val="false"/>
                <w:sz w:val="26"/>
              </w:rPr>
              <w:t>Mẫu đơn đề nghị thuê nhà ở cũ thuộc tài sản công.docx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giấy tờ chứng minh việc bố trí, sử dụng nhà ở theo một trong các trường hợp quy định tại điểm b khoản 1 Điều 62 hoặc khoản 3 Điều 63 của Nghị định số 95/2024/NĐ-CP, trường hợp nhận chuyển quyền thuê thì phải kèm theo một trong các giấy tờ quy định tại điểm a hoặc điểm b khoản 1 Điều 62 hoặc điểm c khoản 1 Điều 64 của Nghị định số 95/2024/NĐ-CP; trường hợp là vợ chồng thì phải có bản sao có chứng thực hoặc bản sao kèm bản chính để đối chiếu giấy chứng nhận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giấy tờ chứng minh thuộc đối tượng được miễn, giảm tiền thuê nhà ở (nếu có) theo quy định tại khoản 3 Điều 67 của Nghị định số 95/2024/NĐ-CP.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Đơn vị quản lý vận hành nhà 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Quốc phòng,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được thuê nhà ở cũ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54/2026/NĐ-CP</w:t>
            </w:r>
          </w:p>
        </w:tc>
        <w:tc>
          <w:p/>
          <w:p>
            <w:pPr>
              <w:spacing w:after="0" w:before="0" w:lineRule="auto" w:line="276"/>
              <w:jc w:val="left"/>
            </w:pPr>
            <w:r>
              <w:rPr>
                <w:rFonts w:ascii="Times New Roman" w:hAnsi="Times New Roman" w:cs="Times New Roman" w:eastAsia="Times New Roman"/>
                <w:b w:val="false"/>
                <w:sz w:val="26"/>
              </w:rPr>
              <w:t>- Nghị định số 54/2026/NĐ-CP ngày 09/02/2026 của Chính phủ sửa đổi, bổ sung một số điều của các Nghị định trong lĩnh vực nhà ở, kinh doanh bất động sản.</w:t>
            </w:r>
          </w:p>
        </w:tc>
        <w:tc>
          <w:p/>
          <w:p>
            <w:pPr>
              <w:spacing w:after="0" w:before="0" w:lineRule="auto" w:line="276"/>
              <w:jc w:val="left"/>
            </w:pPr>
            <w:r>
              <w:rPr>
                <w:rFonts w:ascii="Times New Roman" w:hAnsi="Times New Roman" w:cs="Times New Roman" w:eastAsia="Times New Roman"/>
                <w:b w:val="false"/>
                <w:sz w:val="26"/>
              </w:rPr>
              <w:t>09-02-2026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người đang thực tế sử dụng nhà ở cũ thuộc tài sản công do nhà nước bố trí sử dụng trước ngày 19/01/2007, có giấy tờ chứng minh việc được bố trí, sử dụng nhà ở và có nhu cầu thuê nhà ở.
- Nhà ở cho thuê không thuộc diện có tranh chấp về quyền sử dụng nhà ở hoặc không thuộc diện chiếm dụng trái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2026-05-22T15:32:14Z</dcterms:created>
  <dc:creator>Apache POI</dc:creator>
</cp:coreProperties>
</file>