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trong hợp đồng BCC nộp hồ sơ đăng ký thành lập văn phòng điều hành tại Ban Quản lý nơi dự kiến đặt văn phòng điều hành.
</w:t>
      </w:r>
    </w:p>
    <w:p>
      <w:pPr>
        <w:spacing w:after="0" w:before="0" w:lineRule="auto" w:line="276"/>
        <w:jc w:val="both"/>
      </w:pPr>
      <w:r>
        <w:rPr>
          <w:rFonts w:ascii="Times New Roman" w:hAnsi="Times New Roman" w:cs="Times New Roman" w:eastAsia="Times New Roman"/>
          <w:b w:val="false"/>
          <w:sz w:val="26"/>
        </w:rPr>
        <w:t>- Bước 2: Ban Quản lý cấp Giấy chứng nhận đăng ký hoạt động văn phòng điều hành cho nhà đầu tư nước ngoài trong hợp đồng BCC.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thành lập văn phòng điều hành gồm tên và địa chỉ văn phòng đại diện tại Việt Nam (nếu có) của nhà đầu tư nước ngoài trong hợp đồng BCC; tên, địa chỉ văn phòng điều hành; nội dung, thời hạn, phạm vi hoạt động của văn phòng điều hành; họ, tên, nơi cư trú, chứng minh nhân dân, thẻ căn cước hoặc hộ chiếu của người đứng đầu văn phòng điều hành;</w:t>
            </w:r>
          </w:p>
        </w:tc>
        <w:tc>
          <w:p/>
          <w:p>
            <w:pPr>
              <w:spacing w:after="0" w:before="0" w:lineRule="auto" w:line="276"/>
              <w:jc w:val="left"/>
            </w:pPr>
            <w:r>
              <w:rPr>
                <w:rFonts w:ascii="Times New Roman" w:hAnsi="Times New Roman" w:cs="Times New Roman" w:eastAsia="Times New Roman"/>
                <w:b w:val="false"/>
                <w:sz w:val="26"/>
              </w:rPr>
              <w:t>Mau I-5_TT16_DK thanh lap VP dieu hanh.docx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nước ngoài trong hợp đồng BCC về việc thành lập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bổ nhiệm người đứng đầu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dự 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văn phòng điều hành theo Mẫu II.6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đầu tư nước ngoài;
- Tổ chức kinh tế quy định tại điểm a, b và c Khoản 1 Điều 23 Luật đầu tư, thuộc trường hợp sau: 
+ Có nhà đầu tư nước ngoài nắm giữ từ 51% vốn điều lệ trở lên hoặc có đa số thành viên hợp danh là cá nhân nước ngoài đối với tổ chức kinh tế là công ty hợp danh;
+ Có tổ chức kinh tế quy định tại điểm a khoản này nắm giữ từ 51% vốn điều lệ trở lên;
+ Có nhà đầu tư nước ngoài và tổ chức kinh tế quy định tại điểm a khoản này nắm giữ từ 51 % vốn điều lệ trở lên.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2026-05-10T16:46:18Z</dcterms:created>
  <dc:creator>Apache POI</dc:creator>
</cp:coreProperties>
</file>