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907/QĐ-BXD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của Sàn giao dịch bất động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bất động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Cấp giấy phép hoạt động của Sàn giao dịch bất động sản quy định tại khoản 3 Điều 14 Nghị định số 96/2024/NĐ-C ngày 24/7/2024</w:t>
      </w:r>
    </w:p>
    <w:p>
      <w:pPr>
        <w:spacing w:after="0" w:before="0" w:lineRule="auto" w:line="276"/>
        <w:jc w:val="both"/>
      </w:pPr>
      <w:r>
        <w:rPr>
          <w:rFonts w:ascii="Times New Roman" w:hAnsi="Times New Roman" w:cs="Times New Roman" w:eastAsia="Times New Roman"/>
          <w:b w:val="false"/>
          <w:sz w:val="26"/>
        </w:rPr>
        <w:t>- Tổ chức, cá nhân thành lập sàn giao dịch bất động sản nộp 01 bộ hồ sơ đề nghị cấp giấy phép hoạt động của sàn giao dịch bất động sản đến Trung tâm hành chính công của tỉnh hoặc Bộ phận tiếp nhận và trả kết quả giải quyết thủ tục hành chính của Sở Xây dựng.</w:t>
      </w:r>
    </w:p>
    <w:p>
      <w:pPr>
        <w:spacing w:after="0" w:before="0" w:lineRule="auto" w:line="276"/>
        <w:jc w:val="both"/>
      </w:pPr>
      <w:r>
        <w:rPr>
          <w:rFonts w:ascii="Times New Roman" w:hAnsi="Times New Roman" w:cs="Times New Roman" w:eastAsia="Times New Roman"/>
          <w:b w:val="false"/>
          <w:sz w:val="26"/>
        </w:rPr>
        <w:t>- Trong thời hạn 15 ngày làm việc, kể từ ngày nhận đủ hồ sơ, Sở Xây dựng có trách nhiệm kiểm tra hồ sơ, cấp Giấy phép hoạt động cho sàn giao dịch bất động sản; trong trường hợp từ chối thì phải thông báo bằng văn bản và nêu rõ lý do. Sau khi cấp Giấy phép hoạt động, Sở Xây dựng báo cáo về Bộ Xây dựng để đưa thông tin của sàn giao dịch bất động sản lên trang thông tin điện tử của Bộ Xây dựng. Thông tin của sàn giao dịch bất động sản gồm: Tên sàn giao dịch bất động sản; tên doanh nghiệp thành lập sàn giao dịch bất động sản; họ tên của người quản lý điều hành sàn giao dịch bất động sản; địa chỉ và số điện thoại liên hệ của sàn giao dịch bất động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hoạt động của sàn giao dịch bất động sản (theo mẫu tại Phụ lục XVII Nghị định số 96/2024/NĐ-CP ngày 24/7/2024 của Chính phủ quy định chi tiết một số điều của Luật Kinh doanh bất động sản);</w:t>
            </w:r>
          </w:p>
        </w:tc>
        <w:tc>
          <w:p/>
          <w:p>
            <w:pPr>
              <w:spacing w:after="0" w:before="0" w:lineRule="auto" w:line="276"/>
              <w:jc w:val="left"/>
            </w:pPr>
            <w:r>
              <w:rPr>
                <w:rFonts w:ascii="Times New Roman" w:hAnsi="Times New Roman" w:cs="Times New Roman" w:eastAsia="Times New Roman"/>
                <w:b w:val="false"/>
                <w:sz w:val="26"/>
              </w:rPr>
              <w:t>ĐƠN ĐĂNG KÝ HOẠT ĐỘNG CỦA SÀN GIAO DỊCH BẤT ĐỘNG SẢN.docx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theo quy định tại khoản 5 Điều 9 Luật Kinh doanh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chứng minh quyền sử dụng đối với trụ sở sàn giao dịch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hoàn thành khóa học quản lý, điều hành sàn giao dịch bất động sản của người quản lý điều hành sàn giao dịch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các môi giới bất động sản đã được cấp chứng chỉ hành nghề môi giới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của tỉnh hoặc Bộ phận tiếp nhận và trả kết quả giải quyết thủ tục hành chính của Sở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của Sàn giao dịch bất động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2026-05-23T16:38:48Z</dcterms:created>
  <dc:creator>Apache POI</dc:creator>
</cp:coreProperties>
</file>