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1.012911</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872/QĐ-BXD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Chuyển nhượng toàn bộ hoặc một phần dự án bất động sản do Ủy ban nhân dân cấp tỉnh quyết định việc đầu tư</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Kinh doanh bất động sản</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Chủ đầu tư dự án bất động sản nộp 01 bộ hồ sơ đề nghị cho phép chuyển nhượng toàn bộ hoặc mộ phần dự án bất động sản do Ủy ban nhân dân cấp tỉnh quyết định việc đầu tư đến Trung tâm hành chính công của tỉnh hoặc Bộ phận tiếp nhận và trả kết quả giải quyết thủ tục hành chính của Sở Xây dựng nếu được Ủy ban nhân dân cấp tỉnh ủy quyền.</w:t>
      </w:r>
    </w:p>
    <w:p>
      <w:pPr>
        <w:spacing w:after="0" w:before="0" w:lineRule="auto" w:line="276"/>
        <w:jc w:val="both"/>
      </w:pPr>
      <w:r>
        <w:rPr>
          <w:rFonts w:ascii="Times New Roman" w:hAnsi="Times New Roman" w:cs="Times New Roman" w:eastAsia="Times New Roman"/>
          <w:b w:val="false"/>
          <w:sz w:val="26"/>
        </w:rPr>
        <w:t>- Trong thời hạn 30 ngày kể từ ngày nhận đủ hồ sơ hợp lệ, Ủy ban nhân dân cấp tỉnh có trách nhiệm lấy ý kiến của các cơ quan có liên quan của địa phương đến dự án và phần dự án chuyển nhượng và tổ chức thẩm định hồ sơ chuyển nhượng và xem xét, quyết định.</w:t>
      </w:r>
    </w:p>
    <w:p>
      <w:pPr>
        <w:spacing w:after="0" w:before="0" w:lineRule="auto" w:line="276"/>
        <w:jc w:val="both"/>
      </w:pPr>
      <w:r>
        <w:rPr>
          <w:rFonts w:ascii="Times New Roman" w:hAnsi="Times New Roman" w:cs="Times New Roman" w:eastAsia="Times New Roman"/>
          <w:b w:val="false"/>
          <w:sz w:val="26"/>
        </w:rPr>
        <w:t>Trường hợp bên nhận chuyển nhượng là tổ chức kinh tế có vốn đầu tư nước ngoài có dự án hoặc phần dự án bất động sản chuyển nhượng tại các khu vực thuộc: đảo; xã, phường, thị trấn biên giới; xã, phường, thị trấn ven biển và khu vực khác có ảnh hưởng đến quốc phòng, an ninh theo quy định của pháp luật về quốc phòng, an ninh thì Ủy ban nhân dân cấp tỉnh nơi có dự án phải lấy ý kiến của Bộ Quốc phòng và Bộ Công an về việc bảo đảm quốc phòng, an ninh.</w:t>
      </w:r>
    </w:p>
    <w:p>
      <w:pPr>
        <w:spacing w:after="0" w:before="0" w:lineRule="auto" w:line="276"/>
        <w:jc w:val="both"/>
      </w:pPr>
      <w:r>
        <w:rPr>
          <w:rFonts w:ascii="Times New Roman" w:hAnsi="Times New Roman" w:cs="Times New Roman" w:eastAsia="Times New Roman"/>
          <w:b w:val="false"/>
          <w:sz w:val="26"/>
        </w:rPr>
        <w:t>Trường hợp cơ quan quản lý nhà nước về kinh doanh bất động sản cấp tỉnh được Ủy ban nhân dân cấp tỉnh ủy quyền thì trong thời gian 30 ngày kể từ ngày nhận hồ sơ hợp lệ, Sở Xây dựng có trách nhiệm lấy ý kiến của các cơ quan có liên quan của địa phương đến dự án và phần dự án chuyển nhượng và tổ chức thẩm định hồ sơ chuyển nhượng và trình Ủy ban nhân dân cấp tỉnh xem xét, quyết định.</w:t>
      </w:r>
    </w:p>
    <w:p>
      <w:pPr>
        <w:spacing w:after="0" w:before="0" w:lineRule="auto" w:line="276"/>
        <w:jc w:val="both"/>
      </w:pPr>
      <w:r>
        <w:rPr>
          <w:rFonts w:ascii="Times New Roman" w:hAnsi="Times New Roman" w:cs="Times New Roman" w:eastAsia="Times New Roman"/>
          <w:b w:val="false"/>
          <w:sz w:val="26"/>
        </w:rPr>
        <w:t>- Trong thời hạn 15 ngày kể từ ngày nhận được văn bản, hồ sơ lấy ý kiến của UBND cấp tỉnh hoặc Sở Xây dựng, các cơ quan được lấy ý kiến có ý kiến về nội dung thuộc phạm vi quản lý nhà nước được giao đối với các nội dung quy định tại Điều 4, Điều 39 và Điều 40 Luật Kinh doanh bất động sản</w:t>
      </w:r>
    </w:p>
    <w:p>
      <w:pPr>
        <w:spacing w:after="0" w:before="0" w:lineRule="auto" w:line="276"/>
        <w:jc w:val="both"/>
      </w:pPr>
      <w:r>
        <w:rPr>
          <w:rFonts w:ascii="Times New Roman" w:hAnsi="Times New Roman" w:cs="Times New Roman" w:eastAsia="Times New Roman"/>
          <w:b w:val="false"/>
          <w:sz w:val="26"/>
        </w:rPr>
        <w:t>- Sau khi có quyết định cho phép chuyển nhượng toàn bộ hoặc một phần dự án bất động sản của Ủy ban nhân dân cấp tỉnh, các bên có trách nhiệm thực hiện các quy định tại khoản 6, khoản 7, khoản 8 Điều 10 của Nghị định số 96/2024/NĐ-CP ngày 24/7/2024 của Chính phủ quy định chi tiết một số điều của Luật Kinh doanh bất động sản.</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45 Ngày</w:t>
            </w:r>
          </w:p>
        </w:tc>
        <w:tc>
          <w:p/>
          <w:p>
            <w:pPr>
              <w:spacing w:after="0" w:before="0" w:lineRule="auto" w:line="276"/>
              <w:jc w:val="left"/>
            </w:pPr>
            <w:r>
              <w:rPr>
                <w:rFonts w:ascii="Times New Roman" w:hAnsi="Times New Roman" w:cs="Times New Roman" w:eastAsia="Times New Roman"/>
                <w:b w:val="false"/>
                <w:sz w:val="26"/>
              </w:rPr>
              <w:t>Phí : 0 Đồng</w:t>
              <w:t xml:space="preserve"> (Không)</w:t>
            </w:r>
          </w:p>
        </w:tc>
        <w:tc>
          <w:p/>
          <w:p>
            <w:pPr>
              <w:spacing w:after="0" w:before="0" w:lineRule="auto" w:line="276"/>
              <w:jc w:val="left"/>
            </w:pPr>
            <w:r>
              <w:rPr>
                <w:rFonts w:ascii="Times New Roman" w:hAnsi="Times New Roman" w:cs="Times New Roman" w:eastAsia="Times New Roman"/>
                <w:b w:val="false"/>
                <w:sz w:val="26"/>
              </w:rPr>
              <w:t>Tối đa 45 ngày, kể từ ngày nhận được hồ sơ hợp lệ.</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45 Ngày</w:t>
            </w:r>
          </w:p>
        </w:tc>
        <w:tc>
          <w:p/>
          <w:p>
            <w:pPr>
              <w:spacing w:after="0" w:before="0" w:lineRule="auto" w:line="276"/>
              <w:jc w:val="left"/>
            </w:pPr>
            <w:r>
              <w:rPr>
                <w:rFonts w:ascii="Times New Roman" w:hAnsi="Times New Roman" w:cs="Times New Roman" w:eastAsia="Times New Roman"/>
                <w:b w:val="false"/>
                <w:sz w:val="26"/>
              </w:rPr>
              <w:t>Phí : 0 Đồng</w:t>
              <w:t xml:space="preserve"> (Không)</w:t>
            </w:r>
          </w:p>
        </w:tc>
        <w:tc>
          <w:p/>
          <w:p>
            <w:pPr>
              <w:spacing w:after="0" w:before="0" w:lineRule="auto" w:line="276"/>
              <w:jc w:val="left"/>
            </w:pPr>
            <w:r>
              <w:rPr>
                <w:rFonts w:ascii="Times New Roman" w:hAnsi="Times New Roman" w:cs="Times New Roman" w:eastAsia="Times New Roman"/>
                <w:b w:val="false"/>
                <w:sz w:val="26"/>
              </w:rPr>
              <w:t>Tối đa 45 ngày, kể từ ngày nhận được hồ sơ hợp lệ.</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45 Ngày</w:t>
            </w:r>
          </w:p>
        </w:tc>
        <w:tc>
          <w:p/>
          <w:p>
            <w:pPr>
              <w:spacing w:after="0" w:before="0" w:lineRule="auto" w:line="276"/>
              <w:jc w:val="left"/>
            </w:pPr>
            <w:r>
              <w:rPr>
                <w:rFonts w:ascii="Times New Roman" w:hAnsi="Times New Roman" w:cs="Times New Roman" w:eastAsia="Times New Roman"/>
                <w:b w:val="false"/>
                <w:sz w:val="26"/>
              </w:rPr>
              <w:t>Phí : 0 Đồng</w:t>
              <w:t xml:space="preserve"> (Không)</w:t>
            </w:r>
          </w:p>
        </w:tc>
        <w:tc>
          <w:p/>
          <w:p>
            <w:pPr>
              <w:spacing w:after="0" w:before="0" w:lineRule="auto" w:line="276"/>
              <w:jc w:val="left"/>
            </w:pPr>
            <w:r>
              <w:rPr>
                <w:rFonts w:ascii="Times New Roman" w:hAnsi="Times New Roman" w:cs="Times New Roman" w:eastAsia="Times New Roman"/>
                <w:b w:val="false"/>
                <w:sz w:val="26"/>
              </w:rPr>
              <w:t>Tối đa 45 ngày, kể từ ngày nhận được hồ sơ hợp lệ.</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(2) Các giấy tờ của bên nhận chuyển nhượng dự án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b) Báo cáo tài chính theo quy định tại điểm a khoản 1 Điều 6 của Nghị định số 96/2024/NĐ-CP ngày 24/7/2024 của Chính phủ quy định chi tiết một số điều của Luật Kinh doanh bất động sản;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c) Văn bản cam kết về việc tiếp tục triển khai đầu tư xây dựng, kinh doanh theo đúng nội dung dự án đã được chấp thuận;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01 bản sao có chứng thực (hoặc bản sao kèm bản chính để đối chiếu) Quyết định thành lập hoặc Giấy chứng nhận đăng ký doanh nghiệp hoặc Giấy chứng nhận đăng ký đầu tư hoặc tài liệu tương đương khác của cơ sở đào tạo (chỉ bổ sung những nội dung thay đổi so với lần cấp Giấy chứng nhận gần nhất)</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d) Giấy tờ chứng minh đáp ứng điều kiện theo quy định của pháp luật về đầu tư và pháp luật có liên quan.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Hồ sơ gồm bản sao và xuất trình bản chính để đối chiếu hoặc bản sao được chứng thực hoặc bản sao điện tử có giá trị pháp lý của các giấy tờ sau:</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a) Văn bản của chủ đầu tư dự án đề nghị cho phép chuyển nhượng toàn bộ hoặc một phần dự án bất động sản theo mẫu tại Phụ lục XII ban hành kèm theo Nghị định số 96/2024/NĐ-CP ngày 24/7/2024 quy định chi tiết một số điều của Luật Kinh doanh bất động sản;</w:t>
            </w:r>
          </w:p>
        </w:tc>
        <w:tc>
          <w:p/>
          <w:p>
            <w:pPr>
              <w:spacing w:after="0" w:before="0" w:lineRule="auto" w:line="276"/>
              <w:jc w:val="left"/>
            </w:pPr>
            <w:r>
              <w:rPr>
                <w:rFonts w:ascii="Times New Roman" w:hAnsi="Times New Roman" w:cs="Times New Roman" w:eastAsia="Times New Roman"/>
                <w:b w:val="false"/>
                <w:sz w:val="26"/>
              </w:rPr>
              <w:t>ĐƠN ĐỀ NGHỊ CHO PHÉP CHUYỂN NHƯỢNG TOÀN BỘ.docx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b) Quyết định chủ trương đầu tư hoặc chấp thuận chủ trương đầu tư hoặc chấp thuận đầu tư của dự án bất động sản của cơ quan nhà nước có thẩm quyền theo quy định của pháp luật về đầu tư, về xây dựng, về nhà ở;</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c) Văn bản của cơ quan nhà nước có thẩm quyền về việc lựa chọn nhà đầu tư, lựa chọn chủ đầu tư theo quy định của pháp luật về đầu tư, pháp luật về đấu giá, pháp luật về đấu thầu, pháp luật về nhà ở, pháp luật về phát triển đô thị; quyết định hoặc văn bản công nhận chủ đầu tư đối với trường hợp dự án phải thực hiện thủ tục công nhận chủ đầu tư theo quy định của pháp luật về xây dựng, pháp luật về nhà ở;</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d) Quyết định phê duyệt quy hoạch chi tiết hoặc quy hoạch tổng mặt bằng của dự án bất động sản của cơ quan nhà nước có thẩm quyền theo quy định của pháp luật về xây dựng, về quy hoạch đô thị;</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đ) Các giấy tờ về đất gồm: Quyết định giao đất, cho thuê đất, cho phép chuyển mục đích sử dụng đất thực hiện dự án của cơ quan nhà nước có thẩm quyền theo quy định của pháp luật về đất đai. Biên bản bàn giao đất thực hiện dự án trên thực địa của cơ quan nhà nước có thẩm quyền cho chủ đầu tư dự án theo quy định của pháp luật về đất đai;</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e) Trường hợp dự án, phần dự án bất động sản thế chấp thì phải có giấy tờ thể hiện đã giải chấp theo quy định của pháp luật;</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g) Giấy tờ nghiệm thu theo quy định của pháp luật xây dựng về việc đã hoàn thành đầu tư xây dựng các công trình hạ tầng kỹ thuật tương ứng theo tiến độ, thiết kế, quy hoạch chi tiết và nội dung dự án được phê duyệt đối với trường hợp chuyển nhượng toàn bộ dự án đầu tư xây dựng kết cấu hạ tầng;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h) Xác nhận của cơ quan thuế về việc chủ đầu tư dự án đã hoàn thành nghĩa vụ tài chính về đất đai của dự án đối với Nhà nước và các chứng từ thể hiện chủ đầu tư đã nộp phí, lệ phí liên quan đến đất đai (nếu có) quy định tại khoản 3 Điều 40 Luật Kinh doanh bất động sản;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i) Đối với doanh nghiệp nhà nước chuyển nhượng toàn bộ hoặc một phần dự án bất động sản thì phải có giấy tờ chứng minh việc tuân thủ quy định của pháp luật về quản lý, sử dụng vốn nhà nước đầu tư vào sản xuất, kinh doanh tại doanh nghiệp;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k) Báo cáo quá trình thực hiện dự án bất động sản tính đến thời điểm chuyển nhượng theo mẫu tại Phụ lục XIII ban hành kèm theo Nghị định số 96/2024/NĐ-CP ngày 24/7/2024 của Chính phủ quy định chi tiết một số điều của Luật Kinh doanh bất động sản;</w:t>
            </w:r>
          </w:p>
        </w:tc>
        <w:tc>
          <w:p/>
          <w:p>
            <w:pPr>
              <w:spacing w:after="0" w:before="0" w:lineRule="auto" w:line="276"/>
              <w:jc w:val="left"/>
            </w:pPr>
            <w:r>
              <w:rPr>
                <w:rFonts w:ascii="Times New Roman" w:hAnsi="Times New Roman" w:cs="Times New Roman" w:eastAsia="Times New Roman"/>
                <w:b w:val="false"/>
                <w:sz w:val="26"/>
              </w:rPr>
              <w:t>Bao cao qua trinh thuc hien toan bo mọt phan du an BĐS chuyen nhuong.docx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l) Thỏa thuận về việc chuyển nhượng toàn bộ hoặc một phần dự án bất động sản giữa bên chuyển nhượng và bên nhận chuyển nhượng (nếu có).</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Doanh nghiệp, Doanh nghiệp có vốn đầu tư nước ngoài</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tỉnh</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cho phép chuyển nhượng toàn bộ (hoặc một phần) dự án bất động sản.</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29/2023/QH15</w:t>
            </w:r>
          </w:p>
        </w:tc>
        <w:tc>
          <w:p/>
          <w:p>
            <w:pPr>
              <w:spacing w:after="0" w:before="0" w:lineRule="auto" w:line="276"/>
              <w:jc w:val="left"/>
            </w:pPr>
            <w:r>
              <w:rPr>
                <w:rFonts w:ascii="Times New Roman" w:hAnsi="Times New Roman" w:cs="Times New Roman" w:eastAsia="Times New Roman"/>
                <w:b w:val="false"/>
                <w:sz w:val="26"/>
              </w:rPr>
              <w:t>Luật Kinh doanh bất động sản số 29/2023/QH15</w:t>
            </w:r>
          </w:p>
        </w:tc>
        <w:tc>
          <w:p/>
          <w:p>
            <w:pPr>
              <w:spacing w:after="0" w:before="0" w:lineRule="auto" w:line="276"/>
              <w:jc w:val="left"/>
            </w:pPr>
            <w:r>
              <w:rPr>
                <w:rFonts w:ascii="Times New Roman" w:hAnsi="Times New Roman" w:cs="Times New Roman" w:eastAsia="Times New Roman"/>
                <w:b w:val="false"/>
                <w:sz w:val="26"/>
              </w:rPr>
              <w:t>28-11-2023</w:t>
            </w:r>
          </w:p>
        </w:tc>
        <w:tc>
          <w:p/>
          <w:p>
            <w:pPr>
              <w:spacing w:after="0" w:before="0" w:lineRule="auto" w:line="276"/>
              <w:jc w:val="left"/>
            </w:pPr>
            <w:r>
              <w:rPr>
                <w:rFonts w:ascii="Times New Roman" w:hAnsi="Times New Roman" w:cs="Times New Roman" w:eastAsia="Times New Roman"/>
                <w:b w:val="false"/>
                <w:sz w:val="26"/>
              </w:rPr>
              <w:t>Quốc Hội</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có yêu cầu điều kiện</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2026-05-21T16:39:46Z</dcterms:created>
  <dc:creator>Apache POI</dc:creator>
</cp:coreProperties>
</file>