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1.012922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Kiểm tra hiện trường rừng trồng bị thiệt hại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Lâm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tiếp nhận hồ sơ
Tổ chức có rừng trồng bị thiệt hại gửi văn bản đề nghị xác nhận theo Mẫu số 01 Phụ lục IC ban hành kèm theo Nghị định số 42/2026/NĐ-CP đến Ủy ban nhân dân cấp xã bằng cách thức trực tiếp hoặc qua dịch vụ bưu chính hoặc trực tuyến tại Cổng Dịch vụ công Quốc gia;
Bộ phận tiếp nhận hồ sơ kiểm tra tính chính xác, đầy đủ của hồ sơ, trả lời ngay tính hợp lệ của hồ sơ đối với hồ sơ nộp trực tiếp, trong thời hạn 01 ngày làm việc đối với hồ sơ nộp qua dịch vụ bưu chính hoặc trực tuyến tại Cổng Dịch vụ công Quốc gia; trường hợp hồ sơ không hợp lệ thì thông báo bằng văn bản và nêu rõ lý do;
b) Bước 2: Kiểm tra hiện trường
Trong thời hạn 03 ngày làm việc kể từ ngày nhận được văn bản đề nghị, Ủy ban nhân dân cấp xã hoàn thành việc kiểm tra hiện trường để xác định trường hợp rừng trồng được thanh lý và mức độ thiệt hại của rừng trồng;
Thành phần đoàn kiểm tra hiện trường gồm đại diện: Ủy ban nhân dân cấp xã nơi có rừng bị thiệt hại; chủ rừng hoặc chủ đầu tư dự án có rừng bị thiệt hại; cơ quan phòng chống thiên tai cấp xã đối với các trường hợp quy định tại điểm a khoản 2 Điều 34a Nghị định số 156/2018/NĐ-CP được bổ sung tại Điều 10 Nghị định số 42/2026/NĐ-CP hoặc cơ quan thực hiện nhiệm vụ bảo vệ thực vật đối với các trường hợp quy định tại điểm b khoản 2 Điều 34a Nghị định số 156/2018/NĐ-CP được bổ sung tại Điều 10 Nghị định số 42/2026/NĐ-CP hoặc cơ quan được giao xác định nguyên nhân cháy rừng đối với các trường hợp quy định tại điểm c khoản 2 Điều 34a Nghị định số 156/2018/NĐ-CP được bổ sung tại Điều 10 Nghị định số 42/2026/NĐ-CP; các cơ quan, đơn vị có liên quan khác (nếu có);
c) Bước 3: Trả kết quả
Kết quả kiểm tra hiện trường được lập thành biên bản theo Mẫu số 02 Phụ lục IC ban hành kèm theo Nghị định số 42/2026/NĐ-CP. 
Ủy ban nhân dân cấp xã nơi có rừng bị thiệt hại gửi Biên bản cho cơ quan có thẩm quyền quyết định thanh lý rừng trồng và tổ chức có rừng trồng bị thiệt hại.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văn bản đề nghị của tổ chức có rừng trồng bị thiệt hại.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văn bản đề nghị của tổ chức có rừng trồng bị thiệt hại.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văn bản đề nghị của tổ chức có rừng trồng bị thiệt hại.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xác nhận theo Mẫu số 01 Phụ lục IC ban hành kèm theo Nghị định số 42/2026/NĐ-CP</w:t>
            </w:r>
          </w:p>
        </w:tc>
        <w:tc>
          <w:p/>
          <w:p>
            <w:pPr>
              <w:spacing w:after="0" w:before="0" w:lineRule="auto" w:line="276"/>
              <w:jc w:val="left"/>
            </w:pPr>
            <w:r>
              <w:rPr>
                <w:rFonts w:ascii="Times New Roman" w:hAnsi="Times New Roman" w:cs="Times New Roman" w:eastAsia="Times New Roman"/>
                <w:b w:val="false"/>
                <w:sz w:val="26"/>
              </w:rPr>
              <w:t>Mus02IC.docx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Biên bản kiểm tra hiện trường xác định trường hợp, thiệt hại rừng trồng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140/2024/NĐ-CP</w:t>
            </w:r>
          </w:p>
        </w:tc>
        <w:tc>
          <w:p/>
          <w:p>
            <w:pPr>
              <w:spacing w:after="0" w:before="0" w:lineRule="auto" w:line="276"/>
              <w:jc w:val="left"/>
            </w:pPr>
            <w:r>
              <w:rPr>
                <w:rFonts w:ascii="Times New Roman" w:hAnsi="Times New Roman" w:cs="Times New Roman" w:eastAsia="Times New Roman"/>
                <w:b w:val="false"/>
                <w:sz w:val="26"/>
              </w:rPr>
              <w:t>Quy định về thanh lý rừng trồng.</w:t>
            </w:r>
          </w:p>
        </w:tc>
        <w:tc>
          <w:p/>
          <w:p>
            <w:pPr>
              <w:spacing w:after="0" w:before="0" w:lineRule="auto" w:line="276"/>
              <w:jc w:val="left"/>
            </w:pPr>
            <w:r>
              <w:rPr>
                <w:rFonts w:ascii="Times New Roman" w:hAnsi="Times New Roman" w:cs="Times New Roman" w:eastAsia="Times New Roman"/>
                <w:b w:val="false"/>
                <w:sz w:val="26"/>
              </w:rPr>
              <w:t>25-10-2024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131/2025/NĐ-CP</w:t>
            </w:r>
          </w:p>
        </w:tc>
        <w:tc>
          <w:p/>
          <w:p>
            <w:pPr>
              <w:spacing w:after="0" w:before="0" w:lineRule="auto" w:line="276"/>
              <w:jc w:val="left"/>
            </w:pPr>
            <w:r>
              <w:rPr>
                <w:rFonts w:ascii="Times New Roman" w:hAnsi="Times New Roman" w:cs="Times New Roman" w:eastAsia="Times New Roman"/>
                <w:b w:val="false"/>
                <w:sz w:val="26"/>
              </w:rPr>
              <w:t>Quy định phân định thẩm quyền của chính quyền địa phương 02 cấp trong lĩnh vực quản lý nhà nước của Bộ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Các trường hợp rừng trồng được thanh lý, gồm:
- Do thiên tai theo quy định của pháp luật về phòng chống thiên tai, gồm: bão, áp thấp nhiệt đới, gió mạnh trên biển, lốc, sét, mưa lớn, lũ, lũ quét, ngập lụt; sạt lở đất, sụt lún đất do mưa lũ hoặc dòng chảy hoặc hạn hán; nước dâng, xâm nhập mặn, nắng nóng, cháy rừng do tự nhiên, rét hại, mưa đá, sương mù, sương muối, động đất, sóng thần và các loại thiên tai, sự cố, thảm họa khác; 
- Do dịch bệnh và sinh vật gây hại rừng;
- Do cháy rừng nhưng không xác định được nguyên nhân do tự nhiên hay con người gây ra.
Trong thời hạn 03 ngày làm việc kể từ ngày kết thúc đợt thiên tai, dịch bệnh, cháy rừng không xác định được nguyên nhân hoặc khi có điều kiện tiếp cận hiện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2026-05-07T18:46:19Z</dcterms:created>
  <dc:creator>Apache POI</dc:creator>
</cp:coreProperties>
</file>