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và phê duyệt kế hoạch ứng phó sự cố tràn dầu của các cảng, cơ sở, dự án tại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Ứng phó sự cố tràn dầu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(cảng, cơ sở, dự án tại địa phương) xây dựng kế hoạch ứng phó sự cố tràn dầu, gửi hồ sơ đề nghị thẩm định và phê duyệt kế hoạch ứng phó sự cố tràn dầu trực tiếp, qua hệ thống bưu chính hoặc bằng các hình thức phù hợp khác đến Ủy ban nhân dân cấp tỉnh.</w:t>
      </w:r>
    </w:p>
    <w:p>
      <w:pPr>
        <w:spacing w:after="0" w:before="0" w:lineRule="auto" w:line="276"/>
        <w:jc w:val="both"/>
      </w:pPr>
      <w:r>
        <w:rPr>
          <w:rFonts w:ascii="Times New Roman" w:hAnsi="Times New Roman" w:cs="Times New Roman" w:eastAsia="Times New Roman"/>
          <w:b w:val="false"/>
          <w:sz w:val="26"/>
        </w:rPr>
        <w:t>Bước 2: Trong thời hạn 20 ngày làm việc (không kể ngày nghỉ) kể từ ngày nhận đủ hồ sơ hợp lệ, Ủy ban nhân dân cấp tỉnh có trách nhiệm thẩm định và ra quyết định phê duyệt kế hoạch ứng phó sự cố tràn dầu.</w:t>
      </w:r>
    </w:p>
    <w:p>
      <w:pPr>
        <w:spacing w:after="0" w:before="0" w:lineRule="auto" w:line="276"/>
        <w:jc w:val="both"/>
      </w:pPr>
      <w:r>
        <w:rPr>
          <w:rFonts w:ascii="Times New Roman" w:hAnsi="Times New Roman" w:cs="Times New Roman" w:eastAsia="Times New Roman"/>
          <w:b w:val="false"/>
          <w:sz w:val="26"/>
        </w:rPr>
        <w:t>Bước 3: Kế hoạch ứng phó sự cố tràn dầu theo quy định từ khoản 3 Điều 7 Quyết định số 12/2021/QĐ-TTg ngày 24/3/2021 của Thủ tướng Chính phủ sau khi được cấp có thẩm quyền phê duyệt phải thông báo cho các cơ quan, đơn vị và địa phương liên quan để phối hợp triển khai theo chức năng, nhiệm vụ và trách nhiệm quy định trong kế hoạch.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thẩm định và phê duyệt kế hoạch ứng phó sự cố tràn dầu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ứng phó sự cố tràn dầu theo mẫu quy định tại Phụ lục II ban hành kèm theo Quyết định số 12/2021/QĐ-TTg ngày 24/3/2021 của Thủ tướng Chính phủ.</w:t>
            </w:r>
          </w:p>
        </w:tc>
        <w:tc>
          <w:p/>
          <w:p>
            <w:pPr>
              <w:spacing w:after="0" w:before="0" w:lineRule="auto" w:line="276"/>
              <w:jc w:val="left"/>
            </w:pPr>
            <w:r>
              <w:rPr>
                <w:rFonts w:ascii="Times New Roman" w:hAnsi="Times New Roman" w:cs="Times New Roman" w:eastAsia="Times New Roman"/>
                <w:b w:val="false"/>
                <w:sz w:val="26"/>
              </w:rPr>
              <w:t>5- PHỤ LỤC 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6 - đường Sân Gôn - tổ 15 - Phường Phúc Đồng - quận Long Biên -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kế hoạch ứng phó sự cố tràn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w:t>
            </w:r>
          </w:p>
        </w:tc>
        <w:tc>
          <w:p/>
          <w:p>
            <w:pPr>
              <w:spacing w:after="0" w:before="0" w:lineRule="auto" w:line="276"/>
              <w:jc w:val="left"/>
            </w:pPr>
            <w:r>
              <w:rPr>
                <w:rFonts w:ascii="Times New Roman" w:hAnsi="Times New Roman" w:cs="Times New Roman" w:eastAsia="Times New Roman"/>
                <w:b w:val="false"/>
                <w:sz w:val="26"/>
              </w:rPr>
              <w:t>Quyết định số 12/2021/QĐ-TTg ngày 24/3/2021 của Thủ tướng Chính phủ ban hành Quy chế hoạt động ứng phó với sự cố tràn dầu</w:t>
            </w:r>
          </w:p>
        </w:tc>
        <w:tc>
          <w:p/>
          <w:p>
            <w:pPr>
              <w:spacing w:after="0" w:before="0" w:lineRule="auto" w:line="276"/>
              <w:jc w:val="left"/>
            </w:pPr>
            <w:r>
              <w:rPr>
                <w:rFonts w:ascii="Times New Roman" w:hAnsi="Times New Roman" w:cs="Times New Roman" w:eastAsia="Times New Roman"/>
                <w:b w:val="false"/>
                <w:sz w:val="26"/>
              </w:rPr>
              <w:t>24-03-2021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2026-05-22T17:42:06Z</dcterms:created>
  <dc:creator>Apache POI</dc:creator>
</cp:coreProperties>
</file>