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CHIA, TÁCH; SÁP NHẬP; HỢP NHẤT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đến Bộ Nội vụ xin chia, tách; sáp nhập; hợp nhất hội.</w:t>
      </w:r>
    </w:p>
    <w:p>
      <w:pPr>
        <w:spacing w:after="0" w:before="0" w:lineRule="auto" w:line="276"/>
        <w:jc w:val="both"/>
      </w:pPr>
      <w:r>
        <w:rPr>
          <w:rFonts w:ascii="Times New Roman" w:hAnsi="Times New Roman" w:cs="Times New Roman" w:eastAsia="Times New Roman"/>
          <w:b w:val="false"/>
          <w:sz w:val="26"/>
        </w:rPr>
        <w:t>- Bước 2: Cơ quan có thẩm quyền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Vụ Tổ chức chính phủ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Bộ Nội vụ xem xét, quyết định cho phép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Bộ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Bộ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Bộ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chia, tách; sáp nhập; hợp nhất hội (theo mẫu);.</w:t>
            </w:r>
          </w:p>
        </w:tc>
        <w:tc>
          <w:p/>
          <w:p>
            <w:pPr>
              <w:spacing w:after="0" w:before="0" w:lineRule="auto" w:line="276"/>
              <w:jc w:val="left"/>
            </w:pPr>
            <w:r>
              <w:rPr>
                <w:rFonts w:ascii="Times New Roman" w:hAnsi="Times New Roman" w:cs="Times New Roman" w:eastAsia="Times New Roman"/>
                <w:b w:val="false"/>
                <w:sz w:val="26"/>
              </w:rPr>
              <w:t>Mẫu số 11.docx</w:t>
            </w:r>
          </w:p>
          <w:p>
            <w:pPr>
              <w:spacing w:after="0" w:before="0" w:lineRule="auto" w:line="276"/>
              <w:jc w:val="left"/>
            </w:pPr>
            <w:r>
              <w:rPr>
                <w:rFonts w:ascii="Times New Roman" w:hAnsi="Times New Roman" w:cs="Times New Roman" w:eastAsia="Times New Roman"/>
                <w:b w:val="false"/>
                <w:sz w:val="26"/>
              </w:rPr>
              <w:t>Mẫu số 10.docx</w:t>
            </w:r>
          </w:p>
          <w:p>
            <w:pPr>
              <w:spacing w:after="0" w:before="0" w:lineRule="auto" w:line="276"/>
              <w:jc w:val="left"/>
            </w:pPr>
            <w:r>
              <w:rPr>
                <w:rFonts w:ascii="Times New Roman" w:hAnsi="Times New Roman" w:cs="Times New Roman" w:eastAsia="Times New Roman"/>
                <w:b w:val="false"/>
                <w:sz w:val="26"/>
              </w:rPr>
              <w:t>Mẫu số 12.docx</w:t>
            </w:r>
          </w:p>
          <w:p>
            <w:pPr>
              <w:spacing w:after="0" w:before="0" w:lineRule="auto" w:line="276"/>
              <w:jc w:val="left"/>
            </w:pPr>
            <w:r>
              <w:rPr>
                <w:rFonts w:ascii="Times New Roman" w:hAnsi="Times New Roman" w:cs="Times New Roman" w:eastAsia="Times New Roman"/>
                <w:b w:val="false"/>
                <w:sz w:val="26"/>
              </w:rPr>
              <w:t>Mẫu số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ban chấp hành và ban kiểm tra của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phiếu lý lịch tư pháp số 1 (bản chính) không quá 06 tháng tính đến ngày nộp hồ sơ của nhân sự dự kiến là chủ tịch của hội mới;</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phi chính phủ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60 ngày làm việc kể từ ngày có quyết định của Bộ Nội vụ cho phép chia, tách, sáp nhập, hợp nhất hội, các hội mới phải tổ chức đại hội để thông qua các nội dung được quy định tại khoản 1 Điều 20 Nghị định số 126/2024/NĐ-CP.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2026-05-05T17:00:27Z</dcterms:created>
  <dc:creator>Apache POI</dc:creator>
</cp:coreProperties>
</file>