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627/QĐ-BNV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CHIA, TÁCH; SÁP NHẬP; HỢP NHẤT HỘI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nhà nước về hội, quỹ</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Ban chấp hành hội gửi hồ sơ xin chia, tách; sáp nhập; hợp nhất hội đến Ủy ban nhân dân cấp huyện.</w:t>
      </w:r>
    </w:p>
    <w:p>
      <w:pPr>
        <w:spacing w:after="0" w:before="0" w:lineRule="auto" w:line="276"/>
        <w:jc w:val="both"/>
      </w:pPr>
      <w:r>
        <w:rPr>
          <w:rFonts w:ascii="Times New Roman" w:hAnsi="Times New Roman" w:cs="Times New Roman" w:eastAsia="Times New Roman"/>
          <w:b w:val="false"/>
          <w:sz w:val="26"/>
        </w:rPr>
        <w:t>- Bước 2: Cán bộ tiếp nhận hồ sơ xem xét hồ sơ và đề nghị bổ sung trong trường hợp hồ sơ chưa đầy đủ và hợp pháp. Trường hợp từ chối tiếp nhận, giải quyết hồ sơ phải nêu rõ lý do.</w:t>
      </w:r>
    </w:p>
    <w:p>
      <w:pPr>
        <w:spacing w:after="0" w:before="0" w:lineRule="auto" w:line="276"/>
        <w:jc w:val="both"/>
      </w:pPr>
      <w:r>
        <w:rPr>
          <w:rFonts w:ascii="Times New Roman" w:hAnsi="Times New Roman" w:cs="Times New Roman" w:eastAsia="Times New Roman"/>
          <w:b w:val="false"/>
          <w:sz w:val="26"/>
        </w:rPr>
        <w:t>- Bước 3: Kể từ ngày nhận hồ sơ đầy đủ và hợp pháp, cán bộ tiếp nhận hồ sơ nghiên cứu, thẩm định hồ sơ và thực hiện quy trình lấy ý kiến các cơ quan có liên quan, tổng hợp các ý kiến góp ý, đề nghị bổ sung hồ sơ (nếu có).</w:t>
      </w:r>
    </w:p>
    <w:p>
      <w:pPr>
        <w:spacing w:after="0" w:before="0" w:lineRule="auto" w:line="276"/>
        <w:jc w:val="both"/>
      </w:pPr>
      <w:r>
        <w:rPr>
          <w:rFonts w:ascii="Times New Roman" w:hAnsi="Times New Roman" w:cs="Times New Roman" w:eastAsia="Times New Roman"/>
          <w:b w:val="false"/>
          <w:sz w:val="26"/>
        </w:rPr>
        <w:t>- Bước 4: Ủy ban nhân dân cấp huyện xem xét, quyết định việc chia, tách; sáp nhập; hợp nhất hội. Trường hợp không đồng ý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60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huyện; qua dịch vụ bưu chính công ích hoặc qua Cổng Dịch vụ công trực tuyến trực tuyến. Hồ sơ phải có xác nhận văn bản đến của cơ quan có thẩm quyền. Nếu gửi qua dịch vụ bưu chính công ích,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chia, tách; sáp nhập; hợp nhất hội (theo mẫu);.</w:t>
            </w:r>
          </w:p>
        </w:tc>
        <w:tc>
          <w:p/>
          <w:p>
            <w:pPr>
              <w:spacing w:after="0" w:before="0" w:lineRule="auto" w:line="276"/>
              <w:jc w:val="left"/>
            </w:pPr>
            <w:r>
              <w:rPr>
                <w:rFonts w:ascii="Times New Roman" w:hAnsi="Times New Roman" w:cs="Times New Roman" w:eastAsia="Times New Roman"/>
                <w:b w:val="false"/>
                <w:sz w:val="26"/>
              </w:rPr>
              <w:t>Mẫu số 11.docx</w:t>
            </w:r>
          </w:p>
          <w:p>
            <w:pPr>
              <w:spacing w:after="0" w:before="0" w:lineRule="auto" w:line="276"/>
              <w:jc w:val="left"/>
            </w:pPr>
            <w:r>
              <w:rPr>
                <w:rFonts w:ascii="Times New Roman" w:hAnsi="Times New Roman" w:cs="Times New Roman" w:eastAsia="Times New Roman"/>
                <w:b w:val="false"/>
                <w:sz w:val="26"/>
              </w:rPr>
              <w:t>Mẫu số 10.docx</w:t>
            </w:r>
          </w:p>
          <w:p>
            <w:pPr>
              <w:spacing w:after="0" w:before="0" w:lineRule="auto" w:line="276"/>
              <w:jc w:val="left"/>
            </w:pPr>
            <w:r>
              <w:rPr>
                <w:rFonts w:ascii="Times New Roman" w:hAnsi="Times New Roman" w:cs="Times New Roman" w:eastAsia="Times New Roman"/>
                <w:b w:val="false"/>
                <w:sz w:val="26"/>
              </w:rPr>
              <w:t>Mẫu số 12.docx</w:t>
            </w:r>
          </w:p>
          <w:p>
            <w:pPr>
              <w:spacing w:after="0" w:before="0" w:lineRule="auto" w:line="276"/>
              <w:jc w:val="left"/>
            </w:pPr>
            <w:r>
              <w:rPr>
                <w:rFonts w:ascii="Times New Roman" w:hAnsi="Times New Roman" w:cs="Times New Roman" w:eastAsia="Times New Roman"/>
                <w:b w:val="false"/>
                <w:sz w:val="26"/>
              </w:rPr>
              <w:t>Mẫu số 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án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Nghị quyết của ban chấp hành hội về việc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thảo điều lệ hội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Danh sách ban chấp hành và ban kiểm tra của hội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yếu lý lịch cá nhân, phiếu lý lịch tư pháp số 1 (bản chính) không quá 06 tháng tính đến ngày nộp hồ sơ của nhân sự dự kiến là chủ tịch của hội mới;</w:t>
            </w:r>
          </w:p>
        </w:tc>
        <w:tc>
          <w:p/>
          <w:p>
            <w:pPr>
              <w:spacing w:after="0" w:before="0" w:lineRule="auto" w:line="276"/>
              <w:jc w:val="left"/>
            </w:pPr>
            <w:r>
              <w:rPr>
                <w:rFonts w:ascii="Times New Roman" w:hAnsi="Times New Roman" w:cs="Times New Roman" w:eastAsia="Times New Roman"/>
                <w:b w:val="false"/>
                <w:sz w:val="26"/>
              </w:rPr>
              <w:t>Mẫu số 17.docx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xác nhận nơi dự kiến đặt trụ sở của hội hình thành mới do chia, tách; sáp nhập; hợp nhất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cho phép chia, tách; sáp nhập; hợp nhất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126/2024/NĐ-CP</w:t>
            </w:r>
          </w:p>
        </w:tc>
        <w:tc>
          <w:p/>
          <w:p>
            <w:pPr>
              <w:spacing w:after="0" w:before="0" w:lineRule="auto" w:line="276"/>
              <w:jc w:val="left"/>
            </w:pPr>
            <w:r>
              <w:rPr>
                <w:rFonts w:ascii="Times New Roman" w:hAnsi="Times New Roman" w:cs="Times New Roman" w:eastAsia="Times New Roman"/>
                <w:b w:val="false"/>
                <w:sz w:val="26"/>
              </w:rPr>
              <w:t>Nghị định số 126/2024/NĐ-CP của Chính phủ: Quy định về tổ chức, hoạt động và quản lý hội</w:t>
            </w:r>
          </w:p>
        </w:tc>
        <w:tc>
          <w:p/>
          <w:p>
            <w:pPr>
              <w:spacing w:after="0" w:before="0" w:lineRule="auto" w:line="276"/>
              <w:jc w:val="left"/>
            </w:pPr>
            <w:r>
              <w:rPr>
                <w:rFonts w:ascii="Times New Roman" w:hAnsi="Times New Roman" w:cs="Times New Roman" w:eastAsia="Times New Roman"/>
                <w:b w:val="false"/>
                <w:sz w:val="26"/>
              </w:rPr>
              <w:t>08-10-2024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60 ngày làm việc kể từ ngày có quyết định của Chủ tịch Ủy ban nhân dân cấp huyện cho phép chia, tách, sáp nhập, hợp nhất hội, các hội mới phải tổ chức đại hội để thông qua các nội dung được quy định tại khoản 1 Điều 20 Nghị định số 126/2024/NĐ-CP.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2026-05-19T12:37:05Z</dcterms:created>
  <dc:creator>Apache POI</dc:creator>
</cp:coreProperties>
</file>