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đổi trong trường hợp sau đây:
- Rách, nát hoặc hỏng;
- Thay đổi nơi đăng ký KCB ban đầu;
- Thông tin ghi trong thẻ không đúng.</w:t>
      </w:r>
    </w:p>
    <w:p>
      <w:pPr>
        <w:spacing w:after="0" w:before="0" w:lineRule="auto" w:line="276"/>
        <w:jc w:val="both"/>
      </w:pPr>
      <w:r>
        <w:rPr>
          <w:rFonts w:ascii="Times New Roman" w:hAnsi="Times New Roman" w:cs="Times New Roman" w:eastAsia="Times New Roman"/>
          <w:b w:val="false"/>
          <w:sz w:val="26"/>
        </w:rPr>
        <w:t>Bước 2: Người tham gia BHYT cần đổi thẻ BHYT đến cơ quan BHXH tỉnh, huyện; ghi Tờ khai tham gia, điều chỉnh thông tin BHYT… và Giấy tiếp nhận hồ sơ và hẹn trả kết quả đổi thẻ BHYT theo Mẫu số 4 Phụ lục ban hành kèm theo Nghị định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đổi thẻ BHYT và ký nhận (vào ô người tiếp nhận hồ sơ).
- Trong thời hạn 7 ngày làm việc, kể từ ngày nhận đủ hồ sơ. Tổ chức BHYT phải đổi thẻ BHYT cho người tham gia BHYT.
- Trong thời gian chờ đổi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tiếp nhận hồ sơ và hẹn trả kết quả đổi thẻ BHYT theo Mẫu số 4 Phụ lục ban hành kèm theo Nghị định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BHYT (Rách, nát hoặc hỏng; Thay đổi nơi đăng ký KCB ban đầu; Thông tin ghi trong thẻ không đúng)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tổ chức, cá nhân, thành viên hộ gia đình tham gia BHYT Tờ khai tham gia, điều chỉnh thông tin BHYT, Giấy tiếp nhận hồ sơ và hẹn trả kết quả đổi thẻ BHYT theo Mẫu số 4 ban hành kèm theo Nghị định số 146/2018/NĐ-CP ngày 17/10/2018.
- Yêu cầu đối với cơ quan Bảo hiểm xã hội
Đổi thẻ BHYT cho tổ chức, cá nhân, thành viên hộ gia đình theo Tờ khai tham gia, điều chỉnh thông tin BHYT, Giấy tiếp nhận hồ sơ và hẹn trả kết quả đổi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2026-05-11T17:03:42Z</dcterms:created>
  <dc:creator>Apache POI</dc:creator>
</cp:coreProperties>
</file>