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thế chấp bất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giải thích cho người yêu cầu công chứng hiểu rõ quyền, nghĩa vụ và lợi ích hợp pháp của họ, ý nghĩa và hậu quả pháp lý của việc tham gia hợp đồng;</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có dấu hiệu bị đe doạ,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Trường hợp nội dung, ý định giao kết hợp đồng là xác thực, không vi phạm pháp luật, không trái đạo đức xã hội thì công chứng viên soạn thảo hợp đồng;</w:t>
      </w:r>
    </w:p>
    <w:p>
      <w:pPr>
        <w:spacing w:after="0" w:before="0" w:lineRule="auto" w:line="276"/>
        <w:jc w:val="both"/>
      </w:pPr>
      <w:r>
        <w:rPr>
          <w:rFonts w:ascii="Times New Roman" w:hAnsi="Times New Roman" w:cs="Times New Roman" w:eastAsia="Times New Roman"/>
          <w:b w:val="false"/>
          <w:sz w:val="26"/>
        </w:rPr>
        <w:t>Trường hợp hợp đồng được soạn thảo sẵn, công chứng viên kiểm tra dự thảo hợp đồng; nếu trong dự thảo hợp đồng có điều khoản vi phạm pháp luật, trái đạo đức xã hội, đối tượng của hợp đồng không phù hợp với thực tế thì công chứng viên phải chỉ rõ cho người yêu cầu công chứng để sửa chữa. Trường hợp người yêu cầu công chứng không sửa chữa thì công chứng viên có quyền từ chối công chứng;</w:t>
      </w:r>
    </w:p>
    <w:p>
      <w:pPr>
        <w:spacing w:after="0" w:before="0" w:lineRule="auto" w:line="276"/>
        <w:jc w:val="both"/>
      </w:pPr>
      <w:r>
        <w:rPr>
          <w:rFonts w:ascii="Times New Roman" w:hAnsi="Times New Roman" w:cs="Times New Roman" w:eastAsia="Times New Roman"/>
          <w:b w:val="false"/>
          <w:sz w:val="26"/>
        </w:rPr>
        <w:t>Người yêu cầu công chứng tự đọc lại dự thảo hợp đồng hoặc công chứng viên đọc cho người yêu cầu công chứng nghe theo đề nghị của người yêu cầu công chứng. Trường hợp người yêu cầu công chứng đồng ý toàn bộ nội dung trong dự thảo hợp đồng thì ký vào từng trang của hợp đồng. Công chứng viên  yêu cầu người yêu cầu công chứng xuất trình bản chính của các giấy tờ để đối chiếu trước khi ghi lời chứng, ký vào từng trang của hợp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Thông tư số 257/2016/TT-BTC, cụ thể như sau: Mức phí công chứng hợp đồng thế chấp tài sản (tính trên giá trị tài sản; trường hợp trong hợp đồng thế chấp tài sản có ghi giá trị khoản vay thì tính trên giá trị khoản vay):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Thời hạn công chứng không quá 02 ngày làm việc; đối với hợp đồng, giao dịch có nội dung phức tạp thì thời hạn công chứng có thể kéo dài hơn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hợp đồng thế chấp bất động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2026-05-10T15:53:54Z</dcterms:created>
  <dc:creator>Apache POI</dc:creator>
</cp:coreProperties>
</file>