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chứng chỉ năng lực hoạt động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nộp trực tiếp, qua dịch vụ bưu chính hoặc trực tuyến 01 bộ hồ sơ đề nghị cấp chứng chỉ năng lực hoạt động xây dựng đến Trung tâm phục vụ hành chính công cấp tỉnh hoặc Tổ chức xã hội nghề nghiệp đủ điều kiện.
- Trong thời hạn 05 ngày kể từ ngày nhận hồ sơ, Sở Xây dựng hoặc Tổ chức xã hội nghề nghiệp đủ điều kiện có trách nhiệm kiểm tra hồ sơ, trường hợp hồ sơ không đầy đủ hoặc không hợp lệ, Sở Xây dựng hoặc Tổ chức xã hội nghề nghiệp đủ điều kiện phải thông báo một lần bằng văn bản tới tổ chức đề nghị cấp chứng chỉ năng lực.
- Trong thời hạn 14 ngày  kể từ ngày nhận đủ hồ sơ hợp lệ, Sở Xây dựng hoặc Tổ chức xã hội nghề nghiệp đủ điều kiện có trách nhiệm cấp chứng chỉ năng lực 
- Sau khi được cấp chứng chỉ, cơ quan có thẩm quyền cấp chứng chỉ có trách nhiệm đăng tải thông tin về năng lực hoạt động xây dựng của tổ chức lên trang thông tin điện tử do mình quản lý, đồng thời tích hợp thông tin trên trang thông tin điện tử http://www.nangluchdxd.gov.vn. Thời gian thực hiện đăng tải thông tin năng lực hoạt động xây dựng không quá 05 ngày, kể từ ngày cấp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w:t>
            </w:r>
          </w:p>
        </w:tc>
        <w:tc>
          <w:p/>
          <w:p>
            <w:pPr>
              <w:spacing w:after="0" w:before="0" w:lineRule="auto" w:line="276"/>
              <w:jc w:val="left"/>
            </w:pPr>
            <w:r>
              <w:rPr>
                <w:rFonts w:ascii="Times New Roman" w:hAnsi="Times New Roman" w:cs="Times New Roman" w:eastAsia="Times New Roman"/>
                <w:b w:val="false"/>
                <w:sz w:val="26"/>
              </w:rPr>
              <w:t>14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w:t>
            </w:r>
          </w:p>
        </w:tc>
        <w:tc>
          <w:p/>
          <w:p>
            <w:pPr>
              <w:spacing w:after="0" w:before="0" w:lineRule="auto" w:line="276"/>
              <w:jc w:val="left"/>
            </w:pPr>
            <w:r>
              <w:rPr>
                <w:rFonts w:ascii="Times New Roman" w:hAnsi="Times New Roman" w:cs="Times New Roman" w:eastAsia="Times New Roman"/>
                <w:b w:val="false"/>
                <w:sz w:val="26"/>
              </w:rPr>
              <w:t>14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tại Tiểu mục 21.2 Mục III Bảng B Phụ lục số 01 của Luật Phí và Lệ phí năm 2015 của Bộ Tài chín)</w:t>
            </w:r>
          </w:p>
        </w:tc>
        <w:tc>
          <w:p/>
          <w:p>
            <w:pPr>
              <w:spacing w:after="0" w:before="0" w:lineRule="auto" w:line="276"/>
              <w:jc w:val="left"/>
            </w:pPr>
            <w:r>
              <w:rPr>
                <w:rFonts w:ascii="Times New Roman" w:hAnsi="Times New Roman" w:cs="Times New Roman" w:eastAsia="Times New Roman"/>
                <w:b w:val="false"/>
                <w:sz w:val="26"/>
              </w:rPr>
              <w:t>14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chứng chỉ năng lực hoạt động xây dựng theo Mẫu số 03 Phụ lục IV Nghị định số 175/2024/NĐ-CP ngày 30/12/2024 của Chính phủ; - Bản sao có chứng thực hoặc bản sao điện tử được chứng thực theo quy định: Quyết định thành lập tổ chức trong trường hợp có quyết định thành lập;</w:t>
            </w:r>
          </w:p>
        </w:tc>
        <w:tc>
          <w:p/>
          <w:p>
            <w:pPr>
              <w:spacing w:after="0" w:before="0" w:lineRule="auto" w:line="276"/>
              <w:jc w:val="left"/>
            </w:pPr>
            <w:r>
              <w:rPr>
                <w:rFonts w:ascii="Times New Roman" w:hAnsi="Times New Roman" w:cs="Times New Roman" w:eastAsia="Times New Roman"/>
                <w:b w:val="false"/>
                <w:sz w:val="26"/>
              </w:rPr>
              <w:t>nnghcpmichngchNLHXDMus03.docx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Quyết định thành lập tổ chức trong trường hợp có 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Quyết định công nhận phòng thí nghiệm chuyên ngành xây dựng của tổ chức còn thời hạn hoặc thỏa thuận theo pháp luật Dân sự về việc liên kết thực hiện công việc thí nghiệm phục vụ khảo sát xây dựng với phòng thí nghiệm chuyên ngành xây dựng được công nhận (đối với tổ chức đề nghị cấp chứng chỉ năng lực khảo sát địa chất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Chứng từ hoặc hợp đồng thuê, mua máy, thiết bị kê khai trong đơn (đối với tổ chức đề nghị cấp chứng chỉ năng lực khảo sát xây dựng, thi công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Tài liệu chứng minh về quyền sử dụng phần mềm có bản quyền để tính toán thiết kế kết cấu, địa kỹ thuật công trình (đối với tổ chức thiết kế, thẩm tra thiết kế xây dựng hạng 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Kê khai mã số chứng chỉ hành nghề trong đơn đề nghị cấp chứng chỉ năng lực đối với cá nhân đảm nhận các chức danh yêu cầu phải có chứng chỉ hành nghề. Đối với cá nhân đảm nhận chức danh chỉ huy trưởng thì thay thế bằng văn bằng được đào tạo phù hợp với công việc đảm nhận tương ứng với quy định tại Mục 07 Phụ lục VI Nghị định này, kèm theo bản kê khai theo Mẫu số 04 Phụ lục IV Nghị định này; văn bằng được đào tạo của các cá nhân tham gia thực hiện công việc; Hợp đồng lao động và giấy tờ liên quan đến bảo hiểm xã hội của cá nhân đảm nhận các chức danh yêu cầu phải có chứng chỉ hành nghề thuộc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Chứng chỉ năng lực đã được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Hợp đồng và Biên bản nghiệm thu công việc đã thực hiện theo nội dung kê khai hoặc thông báo kết quả thẩm định của cơ quan chuyên môn về xây dựng đối với tổ chức khảo sát xây dựng, lập thiết kế quy hoạch xây dựng, thiết kế, thẩm tra thiết kế xây dựng, tư vấn quản lý dự án đầu tư xây dựnghạng I, hạng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Hợp đồng và Biên bản nghiệm thu hoàn thành thi công xây dựng hạng mục công trình, công trình xây dựng hoặc bộ phận công trình (trong trường hợp thi công công tác xây dựng chuyên biệt) đã thực hiện theo nội dung kê khai hoặc thông báo kết quả kiểm tra công tác nghiệm thu của cơ quan chuyên môn về xây dựng đối với tổ chức thi công xây dựng, tư vấn giám sát thi công xây dựng hạng I, hạng II; quyết định phê duyệt dự án hoặc giấy phép xây dựng công trình có thông tin về nhóm dự án; loại, cấp công trình; quy mô kết cấu, công suất, vị trí xây dựng của hạng mục công trình, công trình xây dựng hoặc bộ phận công trình được kê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điện tử được chứng thực theo quy định: Tài liệu liên quan đến nội dung về chia, tách, sáp nhập, hợp nhất của tổ chức (đối với trường hợp tổ chức được chia, tách, sáp nhập, hợp nhất theo quy định của pháp luật về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Tổ chức xã hội - nghề nghiệp đã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năng lực hoạt động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tham gia hoạt động xây dựng phải là doanh nghiệp, chi nhánh của doanh nghiệp theo quy định của Luật Doanh nghiệp hoặc tổ chức có chức năng tham gia hoạt động xây dựng được thành lập theo quy định của pháp luật, có ngành nghề phù hợp và đáp ứng các yêu cầu cụ thể đối với từng lĩnh vực hoạt động xây dựng theo quy định tại Điều 98, Điều 102, Điều 103, Điều 104, Điều 105, Điều 106, Điều 107, Điều 108, Điều 109 của Nghị định số 175/2024/NĐ-CP ngày 30/12/2024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2026-05-13T01:25:20Z</dcterms:created>
  <dc:creator>Apache POI</dc:creator>
</cp:coreProperties>
</file>