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xây dựng đối với công trình cấp đặc biệt, cấp I, cấp II (công trình không theo tuyến/theo tuyến trong đô thị/tín ngưỡng, tôn giáo/tượng đài, tranh hoành tráng/sửa chữa, cải tạo/theo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lại giấy phép xây dựng cho Trung tâm phục vụ hành chính công hoặc Bộ phận tiếp nhận và trả kết quả giải quyết thủ tục hành chính của Sở Xây dựng hoặc Ban Quản lý khu công nghiệp, khu chế xuất, khu công nghệ cao, khu kinh tế theo phân cấp, ủy quyền của Ủy ban nhân dân cấp tỉnh.</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cơ quan có thẩm quyền có trách nhiệm xem xét cấp lại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đề nghị điều chỉnh, gia hạn, cấp lại giấy phép xây dựng, trong đó giải trình rõ lý do đề nghị cấp lại theo Mẫu số 02 Phụ lục II Nghị định số 175/2024/NĐ-CP;</w:t>
            </w:r>
          </w:p>
        </w:tc>
        <w:tc>
          <w:p/>
          <w:p>
            <w:pPr>
              <w:spacing w:after="0" w:before="0" w:lineRule="auto" w:line="276"/>
              <w:jc w:val="left"/>
            </w:pPr>
            <w:r>
              <w:rPr>
                <w:rFonts w:ascii="Times New Roman" w:hAnsi="Times New Roman" w:cs="Times New Roman" w:eastAsia="Times New Roman"/>
                <w:b w:val="false"/>
                <w:sz w:val="26"/>
              </w:rPr>
              <w:t>6.M02.PLII.CLtcpII.docx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giấy phép xây dựng đã được cấp (đối với trường hợp bị rách, nát).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chế xuất- Khu công nghiệp, Ban QLDA đầu tư xây dựng khu kinh tế, Ban Quản lý Khu công nghệ cao, Bộ phận Một cửa 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được cấp lại theo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2026-05-13T01:22:57Z</dcterms:created>
  <dc:creator>Apache POI</dc:creator>
</cp:coreProperties>
</file>