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2.001096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357/QĐ-BKHĐT</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Đấu thầu</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Cơ quan nhà nước có thẩm quyền theo quy định của pháp luật về PPP quyết định chủ trương đầu tư dự án.</w:t>
      </w:r>
    </w:p>
    <w:p>
      <w:pPr>
        <w:spacing w:after="0" w:before="0" w:lineRule="auto" w:line="276"/>
        <w:jc w:val="both"/>
      </w:pPr>
      <w:r>
        <w:rPr>
          <w:rFonts w:ascii="Times New Roman" w:hAnsi="Times New Roman" w:cs="Times New Roman" w:eastAsia="Times New Roman"/>
          <w:b w:val="false"/>
          <w:sz w:val="26"/>
        </w:rPr>
        <w:t>- Nhà đầu tư lập hồ sơ đề xuất dự án gửi Bộ, ngành;</w:t>
      </w:r>
    </w:p>
    <w:p>
      <w:pPr>
        <w:spacing w:after="0" w:before="0" w:lineRule="auto" w:line="276"/>
        <w:jc w:val="both"/>
      </w:pPr>
      <w:r>
        <w:rPr>
          <w:rFonts w:ascii="Times New Roman" w:hAnsi="Times New Roman" w:cs="Times New Roman" w:eastAsia="Times New Roman"/>
          <w:b w:val="false"/>
          <w:sz w:val="26"/>
        </w:rPr>
        <w:t>- Đơn vị được Bộ, ngành giao nhiệm vụ tổ chức thẩm định Báo cáo nghiên cứu tiền khả thi;</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 Đối với dự án nhóm A: Tối đa 60 ngày kể từ ngày nhận đủ hồ sơ hợp lệ; - Đối với dự án nhóm B: Tối đa 30 ngày nhận đủ hồ sơ hợp lệ. </w:t>
            </w:r>
          </w:p>
        </w:tc>
        <w:tc>
          <w:p/>
          <w:p>
            <w:pPr>
              <w:spacing w:after="0" w:before="0" w:lineRule="auto" w:line="276"/>
              <w:jc w:val="left"/>
            </w:pPr>
            <w:r>
              <w:rPr>
                <w:rFonts w:ascii="Times New Roman" w:hAnsi="Times New Roman" w:cs="Times New Roman" w:eastAsia="Times New Roman"/>
                <w:b w:val="false"/>
                <w:sz w:val="26"/>
              </w:rPr>
              <w:t>Lệ phí : 0 Đồng</w:t>
              <w:t xml:space="preserve"> (Không có)</w:t>
            </w:r>
          </w:p>
        </w:tc>
        <w:tc>
          <w:p/>
          <w:p>
            <w:pPr>
              <w:spacing w:after="0" w:before="0" w:lineRule="auto" w:line="276"/>
              <w:jc w:val="left"/>
            </w:pPr>
            <w:r>
              <w:rPr>
                <w:rFonts w:ascii="Times New Roman" w:hAnsi="Times New Roman" w:cs="Times New Roman" w:eastAsia="Times New Roman"/>
                <w:b w:val="false"/>
                <w:sz w:val="26"/>
              </w:rPr>
              <w:t xml:space="preserve">- Trực tiếp tại cơ quan của đơn vị thẩm định, cơ quan Nhà nước có thẩm quyền; bằng văn bản. </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(1) Hồ sơ đề xuất dự án nhà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Văn bản đề xuất thực hiện dự án, bao gồm cam kết chịu mọi chi phí, rủi ro nếu hồ sơ đề xuất dự án không được chấp thuận;</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Hồ sơ về tư cách pháp lý, năng lực, kinh nghiệm của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Các tài liệu cần thiết khác để giải trình hồ sơ đề xuất dự án (nếu có).</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(2) Cơ quan quyết định chủ trương đầu tư:</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Tờ trình cấp có thẩm quyền quyết định chủ trương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nghiên cứu tiền khả thi;</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báo cáo nghiên cứu tiền khả thi;</w:t>
            </w:r>
          </w:p>
        </w:tc>
        <w:tc>
          <w:p/>
          <w:p>
            <w:pPr>
              <w:spacing w:after="0" w:before="0" w:lineRule="auto" w:line="276"/>
              <w:jc w:val="left"/>
            </w:pPr>
            <w:r>
              <w:rPr>
                <w:rFonts w:ascii="Times New Roman" w:hAnsi="Times New Roman" w:cs="Times New Roman" w:eastAsia="Times New Roman"/>
                <w:b w:val="false"/>
                <w:sz w:val="26"/>
              </w:rPr>
              <w:t>Phu luc II_ TT 09.docx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Báo cáo thẩm định về nguồn vốn và khả năng cân đối vốn theo pháp luật về đầu tư công đối với dự án sử dụng vốn đầu tư công làm phần phần Nhà nước tham gia trong dự án PPP;</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Văn bản có ý kiến của cơ quan tài chính theo quy định của pháp luật về ngân sách nhà nước đối với dự án sử dụng nguồn chi thường xuyên hoặc nguồn thu từ hoạt động cung cấp dịch vụ công làm vốn thanh toán cho nhà đầu tư.</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Tổ chức (không bao gồm doanh nghiệp, HTX), Tổ chức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Quốc Hội, Thủ tướng Chính phủ, Bộ trưởng, Cơ quan Nhà nước (Bộ, cơ quan ngang Bộ, cơ quan thuộc Chính phủ, cơ quan khác ở trung ương, Thủ trưởng tổ chức khoa học và công nghệ công lập)</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trụ sở cơ quan</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Quyết định chủ trương đầu tư.</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49/2014/QH13</w:t>
            </w:r>
          </w:p>
        </w:tc>
        <w:tc>
          <w:p/>
          <w:p>
            <w:pPr>
              <w:spacing w:after="0" w:before="0" w:lineRule="auto" w:line="276"/>
              <w:jc w:val="left"/>
            </w:pPr>
            <w:r>
              <w:rPr>
                <w:rFonts w:ascii="Times New Roman" w:hAnsi="Times New Roman" w:cs="Times New Roman" w:eastAsia="Times New Roman"/>
                <w:b w:val="false"/>
                <w:sz w:val="26"/>
              </w:rPr>
              <w:t>Luật 49/2014/QH13</w:t>
            </w:r>
          </w:p>
        </w:tc>
        <w:tc>
          <w:p/>
          <w:p>
            <w:pPr>
              <w:spacing w:after="0" w:before="0" w:lineRule="auto" w:line="276"/>
              <w:jc w:val="left"/>
            </w:pPr>
            <w:r>
              <w:rPr>
                <w:rFonts w:ascii="Times New Roman" w:hAnsi="Times New Roman" w:cs="Times New Roman" w:eastAsia="Times New Roman"/>
                <w:b w:val="false"/>
                <w:sz w:val="26"/>
              </w:rPr>
              <w:t>18-06-2014</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63/2018/NĐ-CP</w:t>
            </w:r>
          </w:p>
        </w:tc>
        <w:tc>
          <w:p/>
          <w:p>
            <w:pPr>
              <w:spacing w:after="0" w:before="0" w:lineRule="auto" w:line="276"/>
              <w:jc w:val="left"/>
            </w:pPr>
            <w:r>
              <w:rPr>
                <w:rFonts w:ascii="Times New Roman" w:hAnsi="Times New Roman" w:cs="Times New Roman" w:eastAsia="Times New Roman"/>
                <w:b w:val="false"/>
                <w:sz w:val="26"/>
              </w:rPr>
              <w:t>Nghị định 63/2018/NĐ-CP</w:t>
            </w:r>
          </w:p>
        </w:tc>
        <w:tc>
          <w:p/>
          <w:p>
            <w:pPr>
              <w:spacing w:after="0" w:before="0" w:lineRule="auto" w:line="276"/>
              <w:jc w:val="left"/>
            </w:pPr>
            <w:r>
              <w:rPr>
                <w:rFonts w:ascii="Times New Roman" w:hAnsi="Times New Roman" w:cs="Times New Roman" w:eastAsia="Times New Roman"/>
                <w:b w:val="false"/>
                <w:sz w:val="26"/>
              </w:rPr>
              <w:t>04-05-2018</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09/2018/TT-BKHĐT</w:t>
            </w:r>
          </w:p>
        </w:tc>
        <w:tc>
          <w:p/>
          <w:p>
            <w:pPr>
              <w:spacing w:after="0" w:before="0" w:lineRule="auto" w:line="276"/>
              <w:jc w:val="left"/>
            </w:pPr>
            <w:r>
              <w:rPr>
                <w:rFonts w:ascii="Times New Roman" w:hAnsi="Times New Roman" w:cs="Times New Roman" w:eastAsia="Times New Roman"/>
                <w:b w:val="false"/>
                <w:sz w:val="26"/>
              </w:rPr>
              <w:t>Thông tư 09/2018/TT-BKHĐT</w:t>
            </w:r>
          </w:p>
        </w:tc>
        <w:tc>
          <w:p/>
          <w:p>
            <w:pPr>
              <w:spacing w:after="0" w:before="0" w:lineRule="auto" w:line="276"/>
              <w:jc w:val="left"/>
            </w:pPr>
            <w:r>
              <w:rPr>
                <w:rFonts w:ascii="Times New Roman" w:hAnsi="Times New Roman" w:cs="Times New Roman" w:eastAsia="Times New Roman"/>
                <w:b w:val="false"/>
                <w:sz w:val="26"/>
              </w:rPr>
              <w:t>28-12-2018</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Dự án do nhà đầu tư đề xuất phải đáp ứng các điều kiện sau:
+ Phù hợp với quy hoạch phát triển ngành, lĩnh vực; quy hoạch và kế hoạch phát triển kinh tế - xã hội đã được cấp có thẩm quyền phê duyệt;
+ Phù hợp với lĩnh vực được khuyến khích đầu tư theo hình thức PPP;
+Không trùng lặp với các dự án đã có quyết định chủ trương đầu tư, quyết định đầu tư;
+ Có khả năng thu hồi vốn cho nhà đầu tư;
+ Phù hợp với khả năng cân đối phần Nhà nước tham gia trong dự án PPP;
+ Có báo cáo đánh giá tác động môi trường theo quy định của pháp luật về bảo vệ môi trường.
- Nhà đầu tư là doanh nghiệp nhà nước phải liên danh với doanh nghiệp khác để đề xuất dự án nhưng phải bảo đảm cạnh tranh trong đấu thầu theo quy định của pháp luật về đấu thầu.
</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Thẩm định, báo cáo, nghiên cứu tiền khả thi, quyết định chủ trương đầu tư, dự án do nhà đầu tư đề xuất</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2026-05-22T16:43:38Z</dcterms:created>
  <dc:creator>Apache POI</dc:creator>
</cp:coreProperties>
</file>